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1A7C8" w14:textId="6EDBDFBB" w:rsidR="00CF1D30" w:rsidRPr="00C8490A" w:rsidRDefault="00CF1D30" w:rsidP="00BC455E">
      <w:pPr>
        <w:ind w:left="-851" w:firstLine="2411"/>
        <w:jc w:val="right"/>
        <w:rPr>
          <w:b/>
        </w:rPr>
      </w:pPr>
      <w:bookmarkStart w:id="0" w:name="_GoBack"/>
      <w:bookmarkEnd w:id="0"/>
      <w:r w:rsidRPr="00340BE1">
        <w:rPr>
          <w:b/>
        </w:rPr>
        <w:t>Приложение №</w:t>
      </w:r>
      <w:r w:rsidR="00CD7134" w:rsidRPr="00875EE3">
        <w:rPr>
          <w:b/>
        </w:rPr>
        <w:t xml:space="preserve"> </w:t>
      </w:r>
      <w:r w:rsidR="002A5A0B" w:rsidRPr="00C8490A">
        <w:rPr>
          <w:b/>
        </w:rPr>
        <w:t>1</w:t>
      </w:r>
    </w:p>
    <w:p w14:paraId="5D3E5EB3" w14:textId="77777777" w:rsidR="004B6246" w:rsidRPr="00861494" w:rsidRDefault="004B6246" w:rsidP="004B6246">
      <w:pPr>
        <w:ind w:left="318"/>
        <w:jc w:val="right"/>
      </w:pPr>
      <w:r w:rsidRPr="00861494">
        <w:t xml:space="preserve">к Правилам о порядке и условиях закупок товаров, работ и услуг </w:t>
      </w:r>
    </w:p>
    <w:p w14:paraId="3CC3D7F7" w14:textId="77777777" w:rsidR="004B6246" w:rsidRPr="00861494" w:rsidRDefault="004B6246" w:rsidP="004B6246">
      <w:pPr>
        <w:ind w:left="318"/>
        <w:jc w:val="right"/>
      </w:pPr>
      <w:r w:rsidRPr="00861494">
        <w:t xml:space="preserve">в </w:t>
      </w:r>
      <w:r w:rsidRPr="00340BE1">
        <w:t>ТОО «</w:t>
      </w:r>
      <w:proofErr w:type="spellStart"/>
      <w:r w:rsidRPr="00340BE1">
        <w:t>Микрофинансовая</w:t>
      </w:r>
      <w:proofErr w:type="spellEnd"/>
      <w:r w:rsidRPr="00340BE1">
        <w:t xml:space="preserve"> организация «Азиатский Кредитный Фонд»</w:t>
      </w:r>
      <w:r w:rsidRPr="00861494">
        <w:t xml:space="preserve">, </w:t>
      </w:r>
    </w:p>
    <w:p w14:paraId="4040EE88" w14:textId="77777777" w:rsidR="004B6246" w:rsidRPr="00861494" w:rsidRDefault="004B6246" w:rsidP="004B6246">
      <w:pPr>
        <w:ind w:left="318"/>
        <w:jc w:val="right"/>
      </w:pPr>
      <w:r w:rsidRPr="00861494">
        <w:t>утвержденным решением Правления</w:t>
      </w:r>
    </w:p>
    <w:p w14:paraId="160B9C0B" w14:textId="77777777" w:rsidR="004B6246" w:rsidRPr="00861494" w:rsidRDefault="004B6246" w:rsidP="004B6246">
      <w:pPr>
        <w:ind w:left="318"/>
        <w:jc w:val="right"/>
      </w:pPr>
      <w:r w:rsidRPr="00861494">
        <w:t>от «</w:t>
      </w:r>
      <w:r>
        <w:t>___</w:t>
      </w:r>
      <w:r w:rsidRPr="00861494">
        <w:t>»</w:t>
      </w:r>
      <w:r>
        <w:t xml:space="preserve"> </w:t>
      </w:r>
      <w:r w:rsidRPr="004B6246">
        <w:t>________</w:t>
      </w:r>
      <w:r>
        <w:t xml:space="preserve"> </w:t>
      </w:r>
      <w:r w:rsidRPr="00861494">
        <w:t>202</w:t>
      </w:r>
      <w:r w:rsidRPr="004B6246">
        <w:t>__</w:t>
      </w:r>
      <w:r w:rsidRPr="00861494">
        <w:t xml:space="preserve"> года</w:t>
      </w:r>
    </w:p>
    <w:p w14:paraId="566E1428" w14:textId="77777777" w:rsidR="004B6246" w:rsidRDefault="004B6246" w:rsidP="004B6246">
      <w:pPr>
        <w:ind w:left="34"/>
        <w:jc w:val="right"/>
      </w:pPr>
      <w:r w:rsidRPr="00861494">
        <w:t>протокол №</w:t>
      </w:r>
      <w:r>
        <w:t>__</w:t>
      </w:r>
    </w:p>
    <w:p w14:paraId="4C714073" w14:textId="77777777" w:rsidR="00CF1D30" w:rsidRPr="00340BE1" w:rsidRDefault="00CF1D30" w:rsidP="00CF1D30">
      <w:pPr>
        <w:ind w:left="1560"/>
        <w:rPr>
          <w:b/>
        </w:rPr>
      </w:pPr>
    </w:p>
    <w:p w14:paraId="2FC246B5" w14:textId="6C394CAE" w:rsidR="00CF1D30" w:rsidRPr="004B6246" w:rsidRDefault="007A43C7" w:rsidP="00AD11F2">
      <w:pPr>
        <w:jc w:val="center"/>
        <w:rPr>
          <w:b/>
        </w:rPr>
      </w:pPr>
      <w:r>
        <w:rPr>
          <w:b/>
        </w:rPr>
        <w:t>ФОРМА ЗАЯВ</w:t>
      </w:r>
      <w:r w:rsidR="00F520A4" w:rsidRPr="00945CF6">
        <w:rPr>
          <w:b/>
        </w:rPr>
        <w:t>КИ НА ЗАКУП ТОВАРОВ, РАБОТ И УСЛУГ</w:t>
      </w:r>
    </w:p>
    <w:p w14:paraId="4B1F59CE" w14:textId="77777777" w:rsidR="00CF1D30" w:rsidRPr="00340BE1" w:rsidRDefault="00CF1D30" w:rsidP="00CF1D30">
      <w:pPr>
        <w:ind w:left="1560"/>
        <w:rPr>
          <w:b/>
        </w:rPr>
      </w:pPr>
    </w:p>
    <w:tbl>
      <w:tblPr>
        <w:tblStyle w:val="a9"/>
        <w:tblW w:w="11057" w:type="dxa"/>
        <w:tblInd w:w="-1281" w:type="dxa"/>
        <w:tblLook w:val="04A0" w:firstRow="1" w:lastRow="0" w:firstColumn="1" w:lastColumn="0" w:noHBand="0" w:noVBand="1"/>
      </w:tblPr>
      <w:tblGrid>
        <w:gridCol w:w="560"/>
        <w:gridCol w:w="4969"/>
        <w:gridCol w:w="5528"/>
      </w:tblGrid>
      <w:tr w:rsidR="00CF1D30" w:rsidRPr="00340BE1" w14:paraId="29D96814" w14:textId="77777777" w:rsidTr="00945CF6">
        <w:trPr>
          <w:trHeight w:val="545"/>
        </w:trPr>
        <w:tc>
          <w:tcPr>
            <w:tcW w:w="560" w:type="dxa"/>
          </w:tcPr>
          <w:p w14:paraId="0CC51BB1" w14:textId="77777777" w:rsidR="00CF1D30" w:rsidRPr="00340BE1" w:rsidRDefault="00CF1D30" w:rsidP="00F07D2A">
            <w:pPr>
              <w:jc w:val="center"/>
              <w:rPr>
                <w:b/>
              </w:rPr>
            </w:pPr>
          </w:p>
          <w:p w14:paraId="00C3FF57" w14:textId="77777777" w:rsidR="00CF1D30" w:rsidRPr="00340BE1" w:rsidRDefault="00CF1D30" w:rsidP="00F07D2A">
            <w:pPr>
              <w:jc w:val="center"/>
              <w:rPr>
                <w:b/>
              </w:rPr>
            </w:pPr>
            <w:r w:rsidRPr="00340BE1">
              <w:rPr>
                <w:b/>
              </w:rPr>
              <w:t>№</w:t>
            </w:r>
          </w:p>
        </w:tc>
        <w:tc>
          <w:tcPr>
            <w:tcW w:w="4969" w:type="dxa"/>
          </w:tcPr>
          <w:p w14:paraId="7A275C42" w14:textId="77777777" w:rsidR="00CF1D30" w:rsidRPr="00340BE1" w:rsidRDefault="00CF1D30" w:rsidP="00F07D2A">
            <w:pPr>
              <w:jc w:val="center"/>
              <w:rPr>
                <w:b/>
              </w:rPr>
            </w:pPr>
          </w:p>
          <w:p w14:paraId="530B3DE6" w14:textId="77777777" w:rsidR="00CF1D30" w:rsidRPr="00340BE1" w:rsidRDefault="00CF1D30" w:rsidP="00F07D2A">
            <w:pPr>
              <w:jc w:val="center"/>
              <w:rPr>
                <w:b/>
              </w:rPr>
            </w:pPr>
            <w:r w:rsidRPr="00340BE1">
              <w:rPr>
                <w:b/>
              </w:rPr>
              <w:t>Требуемая информация</w:t>
            </w:r>
          </w:p>
        </w:tc>
        <w:tc>
          <w:tcPr>
            <w:tcW w:w="5528" w:type="dxa"/>
          </w:tcPr>
          <w:p w14:paraId="7152718D" w14:textId="77777777" w:rsidR="00CF1D30" w:rsidRPr="00340BE1" w:rsidRDefault="00CF1D30" w:rsidP="00F07D2A">
            <w:pPr>
              <w:jc w:val="center"/>
              <w:rPr>
                <w:b/>
              </w:rPr>
            </w:pPr>
          </w:p>
          <w:p w14:paraId="02DB15A1" w14:textId="77777777" w:rsidR="00CF1D30" w:rsidRPr="00340BE1" w:rsidRDefault="00CF1D30" w:rsidP="00F07D2A">
            <w:pPr>
              <w:jc w:val="center"/>
              <w:rPr>
                <w:b/>
              </w:rPr>
            </w:pPr>
            <w:r w:rsidRPr="00340BE1">
              <w:rPr>
                <w:b/>
              </w:rPr>
              <w:t>Для заполнения</w:t>
            </w:r>
          </w:p>
        </w:tc>
      </w:tr>
      <w:tr w:rsidR="00CF1D30" w:rsidRPr="00340BE1" w14:paraId="06881393" w14:textId="77777777" w:rsidTr="00945CF6">
        <w:trPr>
          <w:trHeight w:val="559"/>
        </w:trPr>
        <w:tc>
          <w:tcPr>
            <w:tcW w:w="560" w:type="dxa"/>
            <w:vAlign w:val="center"/>
          </w:tcPr>
          <w:p w14:paraId="556A8005" w14:textId="1AE45886" w:rsidR="00CF1D30" w:rsidRPr="00D004AB" w:rsidRDefault="00FA737F" w:rsidP="00945CF6">
            <w:pPr>
              <w:rPr>
                <w:lang w:val="en-US"/>
              </w:rPr>
            </w:pPr>
            <w:r>
              <w:rPr>
                <w:lang w:val="en-US"/>
              </w:rPr>
              <w:t>1</w:t>
            </w:r>
          </w:p>
        </w:tc>
        <w:tc>
          <w:tcPr>
            <w:tcW w:w="4969" w:type="dxa"/>
            <w:vAlign w:val="center"/>
          </w:tcPr>
          <w:p w14:paraId="28C7E737" w14:textId="77777777" w:rsidR="00CF1D30" w:rsidRPr="00340BE1" w:rsidRDefault="00CF1D30" w:rsidP="00D50684">
            <w:r w:rsidRPr="00340BE1">
              <w:t>Место поставки/оказания услуги</w:t>
            </w:r>
          </w:p>
        </w:tc>
        <w:tc>
          <w:tcPr>
            <w:tcW w:w="5528" w:type="dxa"/>
            <w:vAlign w:val="center"/>
          </w:tcPr>
          <w:p w14:paraId="06F88161" w14:textId="2DC22DF9" w:rsidR="00CF1D30" w:rsidRPr="004B6246" w:rsidRDefault="007F081A">
            <w:pPr>
              <w:jc w:val="center"/>
              <w:rPr>
                <w:i/>
              </w:rPr>
            </w:pPr>
            <w:r>
              <w:rPr>
                <w:sz w:val="20"/>
              </w:rPr>
              <w:t>Основной ЦОД (DC) и резервный ЦОД (DR) Заказчика</w:t>
            </w:r>
          </w:p>
        </w:tc>
      </w:tr>
      <w:tr w:rsidR="00CF1D30" w:rsidRPr="00340BE1" w14:paraId="7B24F6B0" w14:textId="77777777" w:rsidTr="00945CF6">
        <w:trPr>
          <w:trHeight w:val="832"/>
        </w:trPr>
        <w:tc>
          <w:tcPr>
            <w:tcW w:w="560" w:type="dxa"/>
            <w:vAlign w:val="center"/>
          </w:tcPr>
          <w:p w14:paraId="49113A4C" w14:textId="4E122EA5" w:rsidR="00CF1D30" w:rsidRPr="00D004AB" w:rsidRDefault="00FA737F" w:rsidP="00945CF6">
            <w:pPr>
              <w:rPr>
                <w:lang w:val="en-US"/>
              </w:rPr>
            </w:pPr>
            <w:r>
              <w:rPr>
                <w:lang w:val="en-US"/>
              </w:rPr>
              <w:t>2</w:t>
            </w:r>
          </w:p>
        </w:tc>
        <w:tc>
          <w:tcPr>
            <w:tcW w:w="4969" w:type="dxa"/>
            <w:vAlign w:val="center"/>
          </w:tcPr>
          <w:p w14:paraId="685B600F" w14:textId="3D80DFE5" w:rsidR="00CF1D30" w:rsidRPr="00340BE1" w:rsidRDefault="00CF1D30">
            <w:r w:rsidRPr="00340BE1">
              <w:t>Наименование запрашиваемо</w:t>
            </w:r>
            <w:r w:rsidR="00EA6BEA">
              <w:t xml:space="preserve">й </w:t>
            </w:r>
            <w:r w:rsidR="00373862">
              <w:t>модели/</w:t>
            </w:r>
            <w:r w:rsidRPr="00340BE1">
              <w:t xml:space="preserve"> товара/услуги/работы</w:t>
            </w:r>
          </w:p>
        </w:tc>
        <w:tc>
          <w:tcPr>
            <w:tcW w:w="5528" w:type="dxa"/>
            <w:vAlign w:val="center"/>
          </w:tcPr>
          <w:p w14:paraId="36BC9175" w14:textId="34124DA4" w:rsidR="00CF1D30" w:rsidRPr="004B6246" w:rsidRDefault="007F081A" w:rsidP="007F081A">
            <w:pPr>
              <w:rPr>
                <w:i/>
              </w:rPr>
            </w:pPr>
            <w:r>
              <w:rPr>
                <w:sz w:val="20"/>
              </w:rPr>
              <w:t xml:space="preserve">2 (две) </w:t>
            </w:r>
            <w:proofErr w:type="spellStart"/>
            <w:r>
              <w:rPr>
                <w:sz w:val="20"/>
              </w:rPr>
              <w:t>двухконтроллерные</w:t>
            </w:r>
            <w:proofErr w:type="spellEnd"/>
            <w:r>
              <w:rPr>
                <w:sz w:val="20"/>
              </w:rPr>
              <w:t xml:space="preserve"> системы хранения данных (СХД) </w:t>
            </w:r>
            <w:proofErr w:type="spellStart"/>
            <w:r>
              <w:rPr>
                <w:sz w:val="20"/>
              </w:rPr>
              <w:t>All-Flash</w:t>
            </w:r>
            <w:proofErr w:type="spellEnd"/>
            <w:r>
              <w:rPr>
                <w:sz w:val="20"/>
              </w:rPr>
              <w:t xml:space="preserve"> корпоративного класса на унифицированной аппаратно-программной платформе для основной (DC) и резервной (DR) площадок, с различной установленной полезной емкостью в соответствии с требованиями CBS «KIYA»: DC — не менее 28 ТБ </w:t>
            </w:r>
            <w:proofErr w:type="spellStart"/>
            <w:r>
              <w:rPr>
                <w:sz w:val="20"/>
              </w:rPr>
              <w:t>usable</w:t>
            </w:r>
            <w:proofErr w:type="spellEnd"/>
            <w:r>
              <w:rPr>
                <w:sz w:val="20"/>
              </w:rPr>
              <w:t xml:space="preserve">, DR — не менее 19 ТБ </w:t>
            </w:r>
            <w:proofErr w:type="spellStart"/>
            <w:r>
              <w:rPr>
                <w:sz w:val="20"/>
              </w:rPr>
              <w:t>usable</w:t>
            </w:r>
            <w:proofErr w:type="spellEnd"/>
            <w:r>
              <w:rPr>
                <w:sz w:val="20"/>
              </w:rPr>
              <w:t xml:space="preserve">. В комплект поставки должны входить SAN-подключение 25GbE (SFP28, </w:t>
            </w:r>
            <w:proofErr w:type="spellStart"/>
            <w:r>
              <w:rPr>
                <w:sz w:val="20"/>
              </w:rPr>
              <w:t>патчкорды</w:t>
            </w:r>
            <w:proofErr w:type="spellEnd"/>
            <w:r>
              <w:rPr>
                <w:sz w:val="20"/>
              </w:rPr>
              <w:t xml:space="preserve">), монтажные рельсы и крепеж, доставка, физический монтаж, настройка, интеграция с </w:t>
            </w:r>
            <w:proofErr w:type="spellStart"/>
            <w:r>
              <w:rPr>
                <w:sz w:val="20"/>
              </w:rPr>
              <w:t>VMware</w:t>
            </w:r>
            <w:proofErr w:type="spellEnd"/>
            <w:r>
              <w:rPr>
                <w:sz w:val="20"/>
              </w:rPr>
              <w:t xml:space="preserve"> </w:t>
            </w:r>
            <w:proofErr w:type="spellStart"/>
            <w:r>
              <w:rPr>
                <w:sz w:val="20"/>
              </w:rPr>
              <w:t>ESXi</w:t>
            </w:r>
            <w:proofErr w:type="spellEnd"/>
            <w:r>
              <w:rPr>
                <w:sz w:val="20"/>
              </w:rPr>
              <w:t xml:space="preserve"> и ввод в эксплуатацию.</w:t>
            </w:r>
          </w:p>
        </w:tc>
      </w:tr>
      <w:tr w:rsidR="00CF1D30" w:rsidRPr="00340BE1" w14:paraId="78F79ED4" w14:textId="77777777" w:rsidTr="00945CF6">
        <w:trPr>
          <w:trHeight w:val="697"/>
        </w:trPr>
        <w:tc>
          <w:tcPr>
            <w:tcW w:w="560" w:type="dxa"/>
            <w:vAlign w:val="center"/>
          </w:tcPr>
          <w:p w14:paraId="546B7B03" w14:textId="70672CE9" w:rsidR="00CF1D30" w:rsidRPr="00FA737F" w:rsidRDefault="00884742" w:rsidP="00945CF6">
            <w:pPr>
              <w:rPr>
                <w:lang w:val="en-US"/>
              </w:rPr>
            </w:pPr>
            <w:r>
              <w:rPr>
                <w:lang w:val="en-US"/>
              </w:rPr>
              <w:t>3</w:t>
            </w:r>
          </w:p>
        </w:tc>
        <w:tc>
          <w:tcPr>
            <w:tcW w:w="4969" w:type="dxa"/>
            <w:vAlign w:val="center"/>
          </w:tcPr>
          <w:p w14:paraId="5353DF08" w14:textId="3AD03987" w:rsidR="00CF1D30" w:rsidRPr="00340BE1" w:rsidRDefault="00CF1D30">
            <w:r w:rsidRPr="00340BE1">
              <w:t>Количество/объем</w:t>
            </w:r>
          </w:p>
        </w:tc>
        <w:tc>
          <w:tcPr>
            <w:tcW w:w="5528" w:type="dxa"/>
            <w:vAlign w:val="center"/>
          </w:tcPr>
          <w:p w14:paraId="4096EC64" w14:textId="6D685CA3" w:rsidR="00CF1D30" w:rsidRPr="004B6246" w:rsidRDefault="007F081A">
            <w:pPr>
              <w:jc w:val="center"/>
              <w:rPr>
                <w:i/>
              </w:rPr>
            </w:pPr>
            <w:r>
              <w:rPr>
                <w:sz w:val="20"/>
              </w:rPr>
              <w:t>2 (два) комплекта:</w:t>
            </w:r>
            <w:r>
              <w:rPr>
                <w:sz w:val="20"/>
              </w:rPr>
              <w:br/>
              <w:t xml:space="preserve">DC — не менее 28 ТБ </w:t>
            </w:r>
            <w:proofErr w:type="spellStart"/>
            <w:r>
              <w:rPr>
                <w:sz w:val="20"/>
              </w:rPr>
              <w:t>usable</w:t>
            </w:r>
            <w:proofErr w:type="spellEnd"/>
            <w:r>
              <w:rPr>
                <w:sz w:val="20"/>
              </w:rPr>
              <w:t>;</w:t>
            </w:r>
            <w:r>
              <w:rPr>
                <w:sz w:val="20"/>
              </w:rPr>
              <w:br/>
              <w:t xml:space="preserve">DR — не менее 19 ТБ </w:t>
            </w:r>
            <w:proofErr w:type="spellStart"/>
            <w:r>
              <w:rPr>
                <w:sz w:val="20"/>
              </w:rPr>
              <w:t>usable</w:t>
            </w:r>
            <w:proofErr w:type="spellEnd"/>
            <w:r>
              <w:rPr>
                <w:sz w:val="20"/>
              </w:rPr>
              <w:t>;</w:t>
            </w:r>
            <w:r>
              <w:rPr>
                <w:sz w:val="20"/>
              </w:rPr>
              <w:br/>
              <w:t>совокупная полезная емкость — не менее 47 ТБ.</w:t>
            </w:r>
          </w:p>
        </w:tc>
      </w:tr>
      <w:tr w:rsidR="007F081A" w:rsidRPr="00340BE1" w14:paraId="300CE504" w14:textId="77777777" w:rsidTr="00865177">
        <w:trPr>
          <w:trHeight w:val="667"/>
        </w:trPr>
        <w:tc>
          <w:tcPr>
            <w:tcW w:w="560" w:type="dxa"/>
            <w:vAlign w:val="center"/>
          </w:tcPr>
          <w:p w14:paraId="48B0F73B" w14:textId="2D5898F3" w:rsidR="007F081A" w:rsidRPr="00884742" w:rsidRDefault="00884742" w:rsidP="007F081A">
            <w:pPr>
              <w:rPr>
                <w:lang w:val="en-US"/>
              </w:rPr>
            </w:pPr>
            <w:r>
              <w:rPr>
                <w:lang w:val="en-US"/>
              </w:rPr>
              <w:t>4</w:t>
            </w:r>
          </w:p>
        </w:tc>
        <w:tc>
          <w:tcPr>
            <w:tcW w:w="4969" w:type="dxa"/>
            <w:vAlign w:val="center"/>
          </w:tcPr>
          <w:p w14:paraId="2F96880E" w14:textId="4C35C65C" w:rsidR="007F081A" w:rsidRPr="00340BE1" w:rsidRDefault="007F081A" w:rsidP="007F081A">
            <w:r w:rsidRPr="00340BE1">
              <w:t>Технические требования/спецификация/наименование</w:t>
            </w:r>
          </w:p>
          <w:p w14:paraId="3CEE5634" w14:textId="77777777" w:rsidR="007F081A" w:rsidRPr="00340BE1" w:rsidRDefault="007F081A" w:rsidP="007F081A"/>
        </w:tc>
        <w:tc>
          <w:tcPr>
            <w:tcW w:w="5528" w:type="dxa"/>
            <w:vAlign w:val="center"/>
          </w:tcPr>
          <w:p w14:paraId="7B6D6D74" w14:textId="6632D014" w:rsidR="007F081A" w:rsidRPr="004B6246" w:rsidRDefault="007F081A" w:rsidP="007F081A">
            <w:pPr>
              <w:rPr>
                <w:i/>
              </w:rPr>
            </w:pPr>
            <w:r>
              <w:t>1. Количество, класс и унификация оборудования:</w:t>
            </w:r>
            <w:r>
              <w:br/>
              <w:t xml:space="preserve">• 2 (две) системы хранения данных </w:t>
            </w:r>
            <w:proofErr w:type="spellStart"/>
            <w:r>
              <w:t>All-Flash</w:t>
            </w:r>
            <w:proofErr w:type="spellEnd"/>
            <w:r>
              <w:t xml:space="preserve"> корпоративного уровня: 1 комплект для DC и 1 комплект для DR.</w:t>
            </w:r>
            <w:r>
              <w:br/>
              <w:t>• СХД должны быть построены на унифицированной аппаратно-программной платформе: один производитель, одна модель/линейка контроллеров, одинаковые интерфейсные модули, версии микропрограммного обеспечения и набор обязательного программного функционала. Различие допускается только в количестве и/или емкости установленных SSD, необходимом для достижения требуемой полезной емкости DC и DR.</w:t>
            </w:r>
            <w:r>
              <w:br/>
            </w:r>
            <w:r>
              <w:br/>
              <w:t>2. Емкость и накопители:</w:t>
            </w:r>
            <w:r>
              <w:br/>
              <w:t xml:space="preserve">• DC: полезная физическая емкость — не менее 28 ТБ </w:t>
            </w:r>
            <w:proofErr w:type="spellStart"/>
            <w:r>
              <w:t>usable</w:t>
            </w:r>
            <w:proofErr w:type="spellEnd"/>
            <w:r>
              <w:t>.</w:t>
            </w:r>
            <w:r>
              <w:br/>
              <w:t xml:space="preserve">• DR: полезная физическая емкость — не менее 19 ТБ </w:t>
            </w:r>
            <w:proofErr w:type="spellStart"/>
            <w:r>
              <w:t>usable</w:t>
            </w:r>
            <w:proofErr w:type="spellEnd"/>
            <w:r>
              <w:t>.</w:t>
            </w:r>
            <w:r>
              <w:br/>
              <w:t xml:space="preserve">• Совокупная полезная емкость двух СХД — не менее 47 ТБ </w:t>
            </w:r>
            <w:proofErr w:type="spellStart"/>
            <w:r>
              <w:t>usable</w:t>
            </w:r>
            <w:proofErr w:type="spellEnd"/>
            <w:r>
              <w:t>.</w:t>
            </w:r>
            <w:r>
              <w:br/>
              <w:t xml:space="preserve">• Полезная емкость должна указываться после </w:t>
            </w:r>
            <w:r>
              <w:lastRenderedPageBreak/>
              <w:t>формирования отказоустойчивого массива, учета служебного резерва/</w:t>
            </w:r>
            <w:proofErr w:type="spellStart"/>
            <w:r>
              <w:t>Hot</w:t>
            </w:r>
            <w:proofErr w:type="spellEnd"/>
            <w:r>
              <w:t xml:space="preserve"> </w:t>
            </w:r>
            <w:proofErr w:type="spellStart"/>
            <w:r>
              <w:t>Spare</w:t>
            </w:r>
            <w:proofErr w:type="spellEnd"/>
            <w:r>
              <w:t xml:space="preserve"> и системных накладных расходов, без учета коэффициента </w:t>
            </w:r>
            <w:proofErr w:type="spellStart"/>
            <w:r>
              <w:t>дедупликации</w:t>
            </w:r>
            <w:proofErr w:type="spellEnd"/>
            <w:r>
              <w:t xml:space="preserve"> и компрессии.</w:t>
            </w:r>
            <w:r>
              <w:br/>
              <w:t xml:space="preserve">• Накопители: корпоративные SSD </w:t>
            </w:r>
            <w:proofErr w:type="spellStart"/>
            <w:r>
              <w:t>Enterprise</w:t>
            </w:r>
            <w:proofErr w:type="spellEnd"/>
            <w:r>
              <w:t>-класса с ресурсом записи не менее 1 DWPD либо эквивалентным ресурсом, подтвержденным производителем.</w:t>
            </w:r>
            <w:r>
              <w:br/>
              <w:t xml:space="preserve">• Каждая СХД должна поддерживать последующее расширение полезной емкости как минимум до 80 ТБ </w:t>
            </w:r>
            <w:proofErr w:type="spellStart"/>
            <w:r>
              <w:t>usable</w:t>
            </w:r>
            <w:proofErr w:type="spellEnd"/>
            <w:r>
              <w:t xml:space="preserve"> без замены базовых контроллеров и без остановки предоставления дисковых ресурсов. Расширение должно выполняться штатными средствами производителя путем добавления накопителей и/или дисковых полок.</w:t>
            </w:r>
            <w:r>
              <w:br/>
            </w:r>
            <w:r>
              <w:br/>
              <w:t>3. Архитектура, электропитание и отказоустойчивость:</w:t>
            </w:r>
            <w:r>
              <w:br/>
              <w:t xml:space="preserve">• Отказоустойчивая </w:t>
            </w:r>
            <w:proofErr w:type="spellStart"/>
            <w:r>
              <w:t>двухконтроллерная</w:t>
            </w:r>
            <w:proofErr w:type="spellEnd"/>
            <w:r>
              <w:t xml:space="preserve"> архитектура </w:t>
            </w:r>
            <w:proofErr w:type="spellStart"/>
            <w:r>
              <w:t>Active-Active</w:t>
            </w:r>
            <w:proofErr w:type="spellEnd"/>
            <w:r>
              <w:t xml:space="preserve"> без единой точки отказа (</w:t>
            </w:r>
            <w:proofErr w:type="spellStart"/>
            <w:r>
              <w:t>No</w:t>
            </w:r>
            <w:proofErr w:type="spellEnd"/>
            <w:r>
              <w:t xml:space="preserve"> </w:t>
            </w:r>
            <w:proofErr w:type="spellStart"/>
            <w:r>
              <w:t>Single</w:t>
            </w:r>
            <w:proofErr w:type="spellEnd"/>
            <w:r>
              <w:t xml:space="preserve"> </w:t>
            </w:r>
            <w:proofErr w:type="spellStart"/>
            <w:r>
              <w:t>Point</w:t>
            </w:r>
            <w:proofErr w:type="spellEnd"/>
            <w:r>
              <w:t xml:space="preserve"> </w:t>
            </w:r>
            <w:proofErr w:type="spellStart"/>
            <w:r>
              <w:t>of</w:t>
            </w:r>
            <w:proofErr w:type="spellEnd"/>
            <w:r>
              <w:t xml:space="preserve"> </w:t>
            </w:r>
            <w:proofErr w:type="spellStart"/>
            <w:r>
              <w:t>Failure</w:t>
            </w:r>
            <w:proofErr w:type="spellEnd"/>
            <w:r>
              <w:t>).</w:t>
            </w:r>
            <w:r>
              <w:br/>
              <w:t xml:space="preserve">• Не менее 2 отказоустойчивых блоков питания </w:t>
            </w:r>
            <w:proofErr w:type="spellStart"/>
            <w:r>
              <w:t>Hot-Swap</w:t>
            </w:r>
            <w:proofErr w:type="spellEnd"/>
            <w:r>
              <w:t xml:space="preserve"> на каждый комплект, работающих по схеме 1+1 и подключаемых к независимым линиям PDU A / PDU B.</w:t>
            </w:r>
            <w:r>
              <w:br/>
              <w:t>• Аппаратное дублирование и горячая замена ключевых компонентов: контроллеров, блоков питания, модулей охлаждения и накопителей.</w:t>
            </w:r>
            <w:r>
              <w:br/>
              <w:t xml:space="preserve">• Поддержка RAID 10 / RAID 6 / </w:t>
            </w:r>
            <w:proofErr w:type="spellStart"/>
            <w:r>
              <w:t>Distributed</w:t>
            </w:r>
            <w:proofErr w:type="spellEnd"/>
            <w:r>
              <w:t xml:space="preserve"> RAID либо эквивалентных технологий производителя.</w:t>
            </w:r>
            <w:r>
              <w:br/>
              <w:t>• Защита кэш-памяти при отказе питания и/или контроллера с сохранением неподтвержденных операций записи.</w:t>
            </w:r>
            <w:r>
              <w:br/>
            </w:r>
            <w:r>
              <w:br/>
              <w:t>4. Подключение к SAN/</w:t>
            </w:r>
            <w:proofErr w:type="spellStart"/>
            <w:r>
              <w:t>Data</w:t>
            </w:r>
            <w:proofErr w:type="spellEnd"/>
            <w:r>
              <w:t>-сети (</w:t>
            </w:r>
            <w:proofErr w:type="spellStart"/>
            <w:r>
              <w:t>Juniper</w:t>
            </w:r>
            <w:proofErr w:type="spellEnd"/>
            <w:r>
              <w:t>), сети управления, монтажные комплекты и кабели:</w:t>
            </w:r>
            <w:r>
              <w:br/>
              <w:t>• Подключение каждой СХД к кластеру виртуализации выполняется по выделенной SAN/</w:t>
            </w:r>
            <w:proofErr w:type="spellStart"/>
            <w:r>
              <w:t>Data</w:t>
            </w:r>
            <w:proofErr w:type="spellEnd"/>
            <w:r>
              <w:t xml:space="preserve">-сети через существующие коммутаторы </w:t>
            </w:r>
            <w:proofErr w:type="spellStart"/>
            <w:r>
              <w:t>Juniper</w:t>
            </w:r>
            <w:proofErr w:type="spellEnd"/>
            <w:r>
              <w:t>.</w:t>
            </w:r>
            <w:r>
              <w:br/>
              <w:t xml:space="preserve">• Каждый контроллер каждой СХД должен иметь не менее 2 (двух) портов SFP28 25GbE для блочного доступа </w:t>
            </w:r>
            <w:proofErr w:type="spellStart"/>
            <w:r>
              <w:t>iSCSI</w:t>
            </w:r>
            <w:proofErr w:type="spellEnd"/>
            <w:r>
              <w:t xml:space="preserve"> и/или </w:t>
            </w:r>
            <w:proofErr w:type="spellStart"/>
            <w:r>
              <w:t>NVMe</w:t>
            </w:r>
            <w:proofErr w:type="spellEnd"/>
            <w:r>
              <w:t>/TCP. Таким образом, на каждой СХД должно быть не менее 4 (четырех) портов SFP28 25GbE для SAN/</w:t>
            </w:r>
            <w:proofErr w:type="spellStart"/>
            <w:r>
              <w:t>Data</w:t>
            </w:r>
            <w:proofErr w:type="spellEnd"/>
            <w:r>
              <w:t>-сети.</w:t>
            </w:r>
            <w:r>
              <w:br/>
              <w:t xml:space="preserve">• Каждый контроллер каждой СХД должен иметь не менее 1 (одного) отдельного </w:t>
            </w:r>
            <w:proofErr w:type="spellStart"/>
            <w:r>
              <w:t>Ethernet</w:t>
            </w:r>
            <w:proofErr w:type="spellEnd"/>
            <w:r>
              <w:t>-порта управления (</w:t>
            </w:r>
            <w:proofErr w:type="spellStart"/>
            <w:r>
              <w:t>Management</w:t>
            </w:r>
            <w:proofErr w:type="spellEnd"/>
            <w:r>
              <w:t>), физически отделенного от SAN/</w:t>
            </w:r>
            <w:proofErr w:type="spellStart"/>
            <w:r>
              <w:t>Data</w:t>
            </w:r>
            <w:proofErr w:type="spellEnd"/>
            <w:r>
              <w:t xml:space="preserve">-портов. Итого — не менее 2 (двух) выделенных </w:t>
            </w:r>
            <w:proofErr w:type="spellStart"/>
            <w:r>
              <w:t>Management</w:t>
            </w:r>
            <w:proofErr w:type="spellEnd"/>
            <w:r>
              <w:t>-портов на каждую СХД.</w:t>
            </w:r>
            <w:r>
              <w:br/>
            </w:r>
            <w:r>
              <w:lastRenderedPageBreak/>
              <w:t xml:space="preserve">• Для КАЖДОЙ СХД отдельно в комплект поставки должны входить: не менее 4 (четырех) SFP28 25GbE трансиверов для стороны СХД; не менее 4 (четырех) SFP28 25GbE трансиверов, полностью совместимых с существующими коммутаторами </w:t>
            </w:r>
            <w:proofErr w:type="spellStart"/>
            <w:r>
              <w:t>Juniper</w:t>
            </w:r>
            <w:proofErr w:type="spellEnd"/>
            <w:r>
              <w:t>, для стороны SAN/</w:t>
            </w:r>
            <w:proofErr w:type="spellStart"/>
            <w:r>
              <w:t>Data</w:t>
            </w:r>
            <w:proofErr w:type="spellEnd"/>
            <w:r>
              <w:t xml:space="preserve">-коммутаторов; не менее 4 (четырех) оптических </w:t>
            </w:r>
            <w:proofErr w:type="spellStart"/>
            <w:r>
              <w:t>патчкордов</w:t>
            </w:r>
            <w:proofErr w:type="spellEnd"/>
            <w:r>
              <w:t xml:space="preserve"> </w:t>
            </w:r>
            <w:proofErr w:type="spellStart"/>
            <w:r>
              <w:t>Duplex</w:t>
            </w:r>
            <w:proofErr w:type="spellEnd"/>
            <w:r>
              <w:t xml:space="preserve"> LC-LC OM4 длиной не менее 5 м; оригинальные рельсы/салазки и весь необходимый крепеж.</w:t>
            </w:r>
            <w:r>
              <w:br/>
              <w:t xml:space="preserve">• Суммарно на ДВЕ закупаемые СХД комплект поставки должен включать не менее 8 (восьми) SFP28 25GbE трансиверов для стороны СХД, не менее 8 (восьми) совместимых SFP28 25GbE трансиверов для стороны </w:t>
            </w:r>
            <w:proofErr w:type="spellStart"/>
            <w:r>
              <w:t>Juniper</w:t>
            </w:r>
            <w:proofErr w:type="spellEnd"/>
            <w:r>
              <w:t xml:space="preserve"> и не менее 8 (восьми) оптических </w:t>
            </w:r>
            <w:proofErr w:type="spellStart"/>
            <w:r>
              <w:t>патчкордов</w:t>
            </w:r>
            <w:proofErr w:type="spellEnd"/>
            <w:r>
              <w:t xml:space="preserve"> </w:t>
            </w:r>
            <w:proofErr w:type="spellStart"/>
            <w:r>
              <w:t>Duplex</w:t>
            </w:r>
            <w:proofErr w:type="spellEnd"/>
            <w:r>
              <w:t xml:space="preserve"> LC-LC OM4.</w:t>
            </w:r>
            <w:r>
              <w:br/>
              <w:t xml:space="preserve">• Для подключения </w:t>
            </w:r>
            <w:proofErr w:type="spellStart"/>
            <w:r>
              <w:t>Management</w:t>
            </w:r>
            <w:proofErr w:type="spellEnd"/>
            <w:r>
              <w:t xml:space="preserve">-портов обоих контроллеров каждой СХД поставщик обязан включить необходимые кабели и, если конструкцией оборудования предусмотрены оптические/SFP-интерфейсы управления, соответствующие трансиверы. Тип </w:t>
            </w:r>
            <w:proofErr w:type="spellStart"/>
            <w:r>
              <w:t>Management</w:t>
            </w:r>
            <w:proofErr w:type="spellEnd"/>
            <w:r>
              <w:t>-подключения (RJ-45/SFP/SFP+ либо эквивалент) должен быть явно указан в коммерческом предложении.</w:t>
            </w:r>
            <w:r>
              <w:br/>
              <w:t>• SAN/</w:t>
            </w:r>
            <w:proofErr w:type="spellStart"/>
            <w:r>
              <w:t>Data</w:t>
            </w:r>
            <w:proofErr w:type="spellEnd"/>
            <w:r>
              <w:t xml:space="preserve">-порты должны подключаться отказоустойчиво: пути от контроллеров СХД распределяются между независимыми SAN-коммутаторами/сетевыми путями таким образом, чтобы отказ одного контроллера, одного SAN-коммутатора или одного </w:t>
            </w:r>
            <w:proofErr w:type="spellStart"/>
            <w:r>
              <w:t>линка</w:t>
            </w:r>
            <w:proofErr w:type="spellEnd"/>
            <w:r>
              <w:t xml:space="preserve"> не приводил к потере доступа к дисковым ресурсам.</w:t>
            </w:r>
            <w:r>
              <w:br/>
            </w:r>
            <w:r>
              <w:br/>
              <w:t>5. Совместимость и протоколы доступа:</w:t>
            </w:r>
            <w:r>
              <w:br/>
              <w:t xml:space="preserve">• Сертификация и </w:t>
            </w:r>
            <w:proofErr w:type="spellStart"/>
            <w:r>
              <w:t>нативная</w:t>
            </w:r>
            <w:proofErr w:type="spellEnd"/>
            <w:r>
              <w:t xml:space="preserve"> поддержка </w:t>
            </w:r>
            <w:proofErr w:type="spellStart"/>
            <w:r>
              <w:t>VMware</w:t>
            </w:r>
            <w:proofErr w:type="spellEnd"/>
            <w:r>
              <w:t xml:space="preserve"> </w:t>
            </w:r>
            <w:proofErr w:type="spellStart"/>
            <w:r>
              <w:t>vSphere</w:t>
            </w:r>
            <w:proofErr w:type="spellEnd"/>
            <w:r>
              <w:t xml:space="preserve"> / </w:t>
            </w:r>
            <w:proofErr w:type="spellStart"/>
            <w:r>
              <w:t>ESXi</w:t>
            </w:r>
            <w:proofErr w:type="spellEnd"/>
            <w:r>
              <w:t xml:space="preserve"> 7.0 / 8.0, включая VAAI и VASA.</w:t>
            </w:r>
            <w:r>
              <w:br/>
              <w:t xml:space="preserve">• Основной режим доступа — блочный. СХД должна поддерживать </w:t>
            </w:r>
            <w:proofErr w:type="spellStart"/>
            <w:r>
              <w:t>iSCSI</w:t>
            </w:r>
            <w:proofErr w:type="spellEnd"/>
            <w:r>
              <w:t xml:space="preserve"> и/или </w:t>
            </w:r>
            <w:proofErr w:type="spellStart"/>
            <w:r>
              <w:t>NVMe-oF</w:t>
            </w:r>
            <w:proofErr w:type="spellEnd"/>
            <w:r>
              <w:t xml:space="preserve"> (</w:t>
            </w:r>
            <w:proofErr w:type="spellStart"/>
            <w:r>
              <w:t>NVMe</w:t>
            </w:r>
            <w:proofErr w:type="spellEnd"/>
            <w:r>
              <w:t xml:space="preserve">/TCP) через поставляемые интерфейсы 25GbE с обязательной поддержкой MPIO / </w:t>
            </w:r>
            <w:proofErr w:type="spellStart"/>
            <w:r>
              <w:t>Multipathing</w:t>
            </w:r>
            <w:proofErr w:type="spellEnd"/>
            <w:r>
              <w:t xml:space="preserve"> на стороне платформы виртуализации.</w:t>
            </w:r>
            <w:r>
              <w:br/>
              <w:t xml:space="preserve">• Наличие файловых протоколов NFS/SMB не является обязательным требованием. Если предлагаемая СХД является </w:t>
            </w:r>
            <w:proofErr w:type="spellStart"/>
            <w:r>
              <w:t>Unified</w:t>
            </w:r>
            <w:proofErr w:type="spellEnd"/>
            <w:r>
              <w:t xml:space="preserve"> </w:t>
            </w:r>
            <w:proofErr w:type="spellStart"/>
            <w:r>
              <w:t>Storage</w:t>
            </w:r>
            <w:proofErr w:type="spellEnd"/>
            <w:r>
              <w:t xml:space="preserve"> и поддержка NFS/SMB входит в базовую лицензию без дополнительной стоимости, данный функционал допускается и рассматривается как преимущество. Отдельная доплата за файловый функционал не требуется.</w:t>
            </w:r>
            <w:r>
              <w:br/>
            </w:r>
            <w:r>
              <w:lastRenderedPageBreak/>
              <w:t>• Поддержка стандартных открытых протоколов должна обеспечивать возможность дальнейшего использования СХД с альтернативными платформами виртуализации без аппаратной замены СХД.</w:t>
            </w:r>
            <w:r>
              <w:br/>
            </w:r>
            <w:r>
              <w:br/>
              <w:t>6. Производительность и функциональность СХД:</w:t>
            </w:r>
            <w:r>
              <w:br/>
              <w:t xml:space="preserve">• Минимально допустимая рабочая производительность каждой СХД: не менее 200 000 IOPS при случайной смешанной блочной нагрузке 8 </w:t>
            </w:r>
            <w:proofErr w:type="spellStart"/>
            <w:r>
              <w:t>KiB</w:t>
            </w:r>
            <w:proofErr w:type="spellEnd"/>
            <w:r>
              <w:t>, профиль 70% чтение / 30% запись, на конфигурации, предлагаемой к поставке. Целевой класс производительности — 200 000–400 000 IOPS; более высокая производительность допускается.</w:t>
            </w:r>
            <w:r>
              <w:br/>
              <w:t>• Средняя задержка (</w:t>
            </w:r>
            <w:proofErr w:type="spellStart"/>
            <w:r>
              <w:t>Latency</w:t>
            </w:r>
            <w:proofErr w:type="spellEnd"/>
            <w:r>
              <w:t xml:space="preserve">) при указанной нагрузке — не более 2 </w:t>
            </w:r>
            <w:proofErr w:type="spellStart"/>
            <w:r>
              <w:t>мс</w:t>
            </w:r>
            <w:proofErr w:type="spellEnd"/>
            <w:r>
              <w:t>.</w:t>
            </w:r>
            <w:r>
              <w:br/>
              <w:t xml:space="preserve">• Производительность должна подтверждаться официальным </w:t>
            </w:r>
            <w:proofErr w:type="spellStart"/>
            <w:r>
              <w:t>sizing</w:t>
            </w:r>
            <w:proofErr w:type="spellEnd"/>
            <w:r>
              <w:t>/</w:t>
            </w:r>
            <w:proofErr w:type="spellStart"/>
            <w:r>
              <w:t>performance</w:t>
            </w:r>
            <w:proofErr w:type="spellEnd"/>
            <w:r>
              <w:t xml:space="preserve"> </w:t>
            </w:r>
            <w:proofErr w:type="spellStart"/>
            <w:r>
              <w:t>report</w:t>
            </w:r>
            <w:proofErr w:type="spellEnd"/>
            <w:r>
              <w:t xml:space="preserve"> производителя, расчетом производителя/дистрибьютора для предлагаемой конфигурации либо результатами испытаний именно предлагаемой конфигурации. Использование в качестве подтверждения только маркетингового максимума другой конфигурации не допускается.</w:t>
            </w:r>
            <w:r>
              <w:br/>
              <w:t xml:space="preserve">• Встроенные функции </w:t>
            </w:r>
            <w:proofErr w:type="spellStart"/>
            <w:r>
              <w:t>Thin</w:t>
            </w:r>
            <w:proofErr w:type="spellEnd"/>
            <w:r>
              <w:t xml:space="preserve"> </w:t>
            </w:r>
            <w:proofErr w:type="spellStart"/>
            <w:r>
              <w:t>Provisioning</w:t>
            </w:r>
            <w:proofErr w:type="spellEnd"/>
            <w:r>
              <w:t xml:space="preserve">, </w:t>
            </w:r>
            <w:proofErr w:type="spellStart"/>
            <w:r>
              <w:t>Inline</w:t>
            </w:r>
            <w:proofErr w:type="spellEnd"/>
            <w:r>
              <w:t xml:space="preserve"> </w:t>
            </w:r>
            <w:proofErr w:type="spellStart"/>
            <w:r>
              <w:t>Compression</w:t>
            </w:r>
            <w:proofErr w:type="spellEnd"/>
            <w:r>
              <w:t>/</w:t>
            </w:r>
            <w:proofErr w:type="spellStart"/>
            <w:r>
              <w:t>Deduplication</w:t>
            </w:r>
            <w:proofErr w:type="spellEnd"/>
            <w:r>
              <w:t xml:space="preserve">, </w:t>
            </w:r>
            <w:proofErr w:type="spellStart"/>
            <w:r>
              <w:t>Snapshots</w:t>
            </w:r>
            <w:proofErr w:type="spellEnd"/>
            <w:r>
              <w:t xml:space="preserve"> и локального клонирования должны быть доступны без приобретения дополнительных обязательных лицензий сверх заявленной стоимости поставки.</w:t>
            </w:r>
            <w:r>
              <w:br/>
              <w:t xml:space="preserve">• </w:t>
            </w:r>
            <w:proofErr w:type="spellStart"/>
            <w:r>
              <w:t>Межплощадочная</w:t>
            </w:r>
            <w:proofErr w:type="spellEnd"/>
            <w:r>
              <w:t xml:space="preserve"> репликация данных DC ↔ DR выполняется на уровне существующей платформы виртуализации Заказчика. </w:t>
            </w:r>
            <w:proofErr w:type="spellStart"/>
            <w:r>
              <w:t>Нативная</w:t>
            </w:r>
            <w:proofErr w:type="spellEnd"/>
            <w:r>
              <w:t xml:space="preserve"> репликация средствами СХД не является обязательным требованием и не используется как критерий соответствия.</w:t>
            </w:r>
            <w:r>
              <w:br/>
              <w:t>• Отдельные лицензии на репликацию средствами СХД в обязательный состав коммерческого предложения включать не требуется. Если функция репликации входит в базовую лицензию СХД без дополнительной стоимости, поставщик должен это указать. Если функция лицензируется отдельно, она может быть приведена только как необязательная опция отдельной строкой.</w:t>
            </w:r>
            <w:r>
              <w:br/>
            </w:r>
            <w:r>
              <w:br/>
              <w:t>7. Лицензирование программного функционала СХД:</w:t>
            </w:r>
            <w:r>
              <w:br/>
              <w:t xml:space="preserve">• В стоимость поставки должны входить все лицензии, необходимые для эксплуатации </w:t>
            </w:r>
            <w:r>
              <w:lastRenderedPageBreak/>
              <w:t xml:space="preserve">заявленной конфигурации и выполнения обязательных требований настоящей спецификации: управление, протоколы доступа, мониторинг, </w:t>
            </w:r>
            <w:proofErr w:type="spellStart"/>
            <w:r>
              <w:t>Thin</w:t>
            </w:r>
            <w:proofErr w:type="spellEnd"/>
            <w:r>
              <w:t xml:space="preserve"> </w:t>
            </w:r>
            <w:proofErr w:type="spellStart"/>
            <w:r>
              <w:t>Provisioning</w:t>
            </w:r>
            <w:proofErr w:type="spellEnd"/>
            <w:r>
              <w:t xml:space="preserve">, </w:t>
            </w:r>
            <w:proofErr w:type="spellStart"/>
            <w:r>
              <w:t>Data</w:t>
            </w:r>
            <w:proofErr w:type="spellEnd"/>
            <w:r>
              <w:t xml:space="preserve"> </w:t>
            </w:r>
            <w:proofErr w:type="spellStart"/>
            <w:r>
              <w:t>Reduction</w:t>
            </w:r>
            <w:proofErr w:type="spellEnd"/>
            <w:r>
              <w:t xml:space="preserve">, </w:t>
            </w:r>
            <w:proofErr w:type="spellStart"/>
            <w:r>
              <w:t>Snapshots</w:t>
            </w:r>
            <w:proofErr w:type="spellEnd"/>
            <w:r>
              <w:t xml:space="preserve"> и локальное клонирование.</w:t>
            </w:r>
            <w:r>
              <w:br/>
              <w:t>• Не допускается зависимость заявленной полезной емкости или обязательного функционала от неуказанных дополнительных лицензий/подписок.</w:t>
            </w:r>
            <w:r>
              <w:br/>
              <w:t xml:space="preserve">• Лицензии на </w:t>
            </w:r>
            <w:proofErr w:type="spellStart"/>
            <w:r>
              <w:t>межплощадочную</w:t>
            </w:r>
            <w:proofErr w:type="spellEnd"/>
            <w:r>
              <w:t xml:space="preserve"> репликацию средствами СХД не требуются, поскольку репликация реализуется на уровне виртуализации.</w:t>
            </w:r>
            <w:r>
              <w:br/>
            </w:r>
            <w:r>
              <w:br/>
              <w:t>8. Настройка, ПНР и ввод в эксплуатацию:</w:t>
            </w:r>
            <w:r>
              <w:br/>
              <w:t>• Физический монтаж в 19-дюймовые стойки, подключение к независимым линиям PDU A / PDU B.</w:t>
            </w:r>
            <w:r>
              <w:br/>
              <w:t xml:space="preserve">• Коммутация с SAN-сетью </w:t>
            </w:r>
            <w:proofErr w:type="spellStart"/>
            <w:r>
              <w:t>Juniper</w:t>
            </w:r>
            <w:proofErr w:type="spellEnd"/>
            <w:r>
              <w:t xml:space="preserve"> с использованием поставляемых SFP28-модулей и </w:t>
            </w:r>
            <w:proofErr w:type="spellStart"/>
            <w:r>
              <w:t>патчкордов</w:t>
            </w:r>
            <w:proofErr w:type="spellEnd"/>
            <w:r>
              <w:t>.</w:t>
            </w:r>
            <w:r>
              <w:br/>
              <w:t xml:space="preserve">• Обновление </w:t>
            </w:r>
            <w:proofErr w:type="spellStart"/>
            <w:r>
              <w:t>firmware</w:t>
            </w:r>
            <w:proofErr w:type="spellEnd"/>
            <w:r>
              <w:t xml:space="preserve"> до актуальной стабильной версии, настройка пулов, сетевых интерфейсов, LUN/</w:t>
            </w:r>
            <w:proofErr w:type="spellStart"/>
            <w:r>
              <w:t>datastore</w:t>
            </w:r>
            <w:proofErr w:type="spellEnd"/>
            <w:r>
              <w:t xml:space="preserve"> и интеграция с </w:t>
            </w:r>
            <w:proofErr w:type="spellStart"/>
            <w:r>
              <w:t>VMware</w:t>
            </w:r>
            <w:proofErr w:type="spellEnd"/>
            <w:r>
              <w:t xml:space="preserve"> </w:t>
            </w:r>
            <w:proofErr w:type="spellStart"/>
            <w:r>
              <w:t>ESXi</w:t>
            </w:r>
            <w:proofErr w:type="spellEnd"/>
            <w:r>
              <w:t>.</w:t>
            </w:r>
            <w:r>
              <w:br/>
              <w:t xml:space="preserve">• Настройка MPIO / </w:t>
            </w:r>
            <w:proofErr w:type="spellStart"/>
            <w:r>
              <w:t>Multipathing</w:t>
            </w:r>
            <w:proofErr w:type="spellEnd"/>
            <w:r>
              <w:t xml:space="preserve"> и проверка отказоустойчивости путей.</w:t>
            </w:r>
            <w:r>
              <w:br/>
              <w:t>• Тестирование отказоустойчивости: отказ контроллера, блока питания и SAN-</w:t>
            </w:r>
            <w:proofErr w:type="spellStart"/>
            <w:r>
              <w:t>линка</w:t>
            </w:r>
            <w:proofErr w:type="spellEnd"/>
            <w:r>
              <w:t xml:space="preserve"> без потери доступности данных.</w:t>
            </w:r>
            <w:r>
              <w:br/>
              <w:t xml:space="preserve">• Приемо-сдаточное подтверждение производительности: не менее 200 000 IOPS на каждую СХД при 8 </w:t>
            </w:r>
            <w:proofErr w:type="spellStart"/>
            <w:r>
              <w:t>KiB</w:t>
            </w:r>
            <w:proofErr w:type="spellEnd"/>
            <w:r>
              <w:t xml:space="preserve"> </w:t>
            </w:r>
            <w:proofErr w:type="spellStart"/>
            <w:r>
              <w:t>random</w:t>
            </w:r>
            <w:proofErr w:type="spellEnd"/>
            <w:r>
              <w:t xml:space="preserve">, профиль 70% чтение / 30% запись, со средней </w:t>
            </w:r>
            <w:proofErr w:type="spellStart"/>
            <w:r>
              <w:t>latency</w:t>
            </w:r>
            <w:proofErr w:type="spellEnd"/>
            <w:r>
              <w:t xml:space="preserve"> не более 2 </w:t>
            </w:r>
            <w:proofErr w:type="spellStart"/>
            <w:r>
              <w:t>мс</w:t>
            </w:r>
            <w:proofErr w:type="spellEnd"/>
            <w:r>
              <w:t>; методика и инструмент тестирования согласовываются с Заказчиком до начала ПНР. Тестирование выполняется через рабочие 25GbE интерфейсы блочного доступа.</w:t>
            </w:r>
            <w:r>
              <w:br/>
              <w:t>• Передача протокола испытаний, актуальной конфигурационной схемы (</w:t>
            </w:r>
            <w:proofErr w:type="spellStart"/>
            <w:r>
              <w:t>As-Built</w:t>
            </w:r>
            <w:proofErr w:type="spellEnd"/>
            <w:r>
              <w:t>), эксплуатационной документации и первичный инструктаж ИТ-специалистов Заказчика.</w:t>
            </w:r>
            <w:r>
              <w:br/>
            </w:r>
            <w:r>
              <w:br/>
              <w:t>9. Гарантия и техническая поддержка:</w:t>
            </w:r>
            <w:r>
              <w:br/>
              <w:t>• Официальная гарантия производителя и техническая поддержка — не менее 3 лет.</w:t>
            </w:r>
            <w:r>
              <w:br/>
              <w:t xml:space="preserve">• SLA сервисного центра в РК: время реакции на критичный инцидент — не более 4 часов; замена неисправных компонентов — </w:t>
            </w:r>
            <w:proofErr w:type="spellStart"/>
            <w:r>
              <w:t>Next</w:t>
            </w:r>
            <w:proofErr w:type="spellEnd"/>
            <w:r>
              <w:t xml:space="preserve"> </w:t>
            </w:r>
            <w:proofErr w:type="spellStart"/>
            <w:r>
              <w:t>Business</w:t>
            </w:r>
            <w:proofErr w:type="spellEnd"/>
            <w:r>
              <w:t xml:space="preserve"> </w:t>
            </w:r>
            <w:proofErr w:type="spellStart"/>
            <w:r>
              <w:t>Day</w:t>
            </w:r>
            <w:proofErr w:type="spellEnd"/>
            <w:r>
              <w:t xml:space="preserve"> (NBD) либо лучше.</w:t>
            </w:r>
            <w:r>
              <w:br/>
              <w:t xml:space="preserve">• Доступ к официальным обновлениям </w:t>
            </w:r>
            <w:proofErr w:type="spellStart"/>
            <w:r>
              <w:t>firmware</w:t>
            </w:r>
            <w:proofErr w:type="spellEnd"/>
            <w:r>
              <w:t xml:space="preserve"> и </w:t>
            </w:r>
            <w:proofErr w:type="spellStart"/>
            <w:r>
              <w:t>патчам</w:t>
            </w:r>
            <w:proofErr w:type="spellEnd"/>
            <w:r>
              <w:t xml:space="preserve"> безопасности на весь гарантийный период.</w:t>
            </w:r>
          </w:p>
        </w:tc>
      </w:tr>
      <w:tr w:rsidR="007F081A" w:rsidRPr="00340BE1" w14:paraId="7C136CCE" w14:textId="77777777" w:rsidTr="00486CE4">
        <w:trPr>
          <w:trHeight w:val="394"/>
        </w:trPr>
        <w:tc>
          <w:tcPr>
            <w:tcW w:w="560" w:type="dxa"/>
            <w:vAlign w:val="center"/>
          </w:tcPr>
          <w:p w14:paraId="1AFA2EC6" w14:textId="013DAC89" w:rsidR="007F081A" w:rsidRPr="00884742" w:rsidRDefault="00884742" w:rsidP="007F081A">
            <w:pPr>
              <w:rPr>
                <w:lang w:val="en-US"/>
              </w:rPr>
            </w:pPr>
            <w:r>
              <w:rPr>
                <w:lang w:val="en-US"/>
              </w:rPr>
              <w:lastRenderedPageBreak/>
              <w:t>5</w:t>
            </w:r>
          </w:p>
        </w:tc>
        <w:tc>
          <w:tcPr>
            <w:tcW w:w="4969" w:type="dxa"/>
            <w:vAlign w:val="center"/>
          </w:tcPr>
          <w:p w14:paraId="78C55F87" w14:textId="2ECC2170" w:rsidR="007F081A" w:rsidRPr="00340BE1" w:rsidRDefault="007F081A" w:rsidP="007F081A">
            <w:r w:rsidRPr="00340BE1">
              <w:t>Срок поставки</w:t>
            </w:r>
          </w:p>
        </w:tc>
        <w:tc>
          <w:tcPr>
            <w:tcW w:w="5528" w:type="dxa"/>
            <w:vAlign w:val="center"/>
          </w:tcPr>
          <w:p w14:paraId="4D9584C6" w14:textId="0B995BBE" w:rsidR="007F081A" w:rsidRPr="004B6246" w:rsidRDefault="007F081A" w:rsidP="007F081A">
            <w:pPr>
              <w:jc w:val="center"/>
              <w:rPr>
                <w:i/>
              </w:rPr>
            </w:pPr>
            <w:r>
              <w:rPr>
                <w:sz w:val="20"/>
              </w:rPr>
              <w:t>30–60 календарных дней с даты подписания договора, включая доставку, монтаж, настройку, ПНР и ввод в эксплуатацию в ЦОД Заказчика.</w:t>
            </w:r>
          </w:p>
        </w:tc>
      </w:tr>
      <w:tr w:rsidR="007F081A" w:rsidRPr="00340BE1" w14:paraId="69C05955" w14:textId="77777777" w:rsidTr="00945CF6">
        <w:trPr>
          <w:trHeight w:val="709"/>
        </w:trPr>
        <w:tc>
          <w:tcPr>
            <w:tcW w:w="560" w:type="dxa"/>
            <w:vAlign w:val="center"/>
          </w:tcPr>
          <w:p w14:paraId="4908A2ED" w14:textId="5E6D9CC0" w:rsidR="007F081A" w:rsidRPr="00C501E1" w:rsidRDefault="00C501E1" w:rsidP="007F081A">
            <w:r>
              <w:t>6</w:t>
            </w:r>
          </w:p>
        </w:tc>
        <w:tc>
          <w:tcPr>
            <w:tcW w:w="4969" w:type="dxa"/>
            <w:vAlign w:val="center"/>
          </w:tcPr>
          <w:p w14:paraId="6B5F3756" w14:textId="702F19FB" w:rsidR="007F081A" w:rsidRPr="00AD11F2" w:rsidRDefault="007F081A" w:rsidP="007F081A">
            <w:r w:rsidRPr="00945CF6">
              <w:t>Требование к поставщик</w:t>
            </w:r>
            <w:r>
              <w:t>у</w:t>
            </w:r>
            <w:r w:rsidRPr="00945CF6">
              <w:t xml:space="preserve"> (подрядчик</w:t>
            </w:r>
            <w:r>
              <w:t>у</w:t>
            </w:r>
            <w:r w:rsidRPr="00945CF6">
              <w:t>) и закупке</w:t>
            </w:r>
          </w:p>
        </w:tc>
        <w:tc>
          <w:tcPr>
            <w:tcW w:w="5528" w:type="dxa"/>
            <w:vAlign w:val="center"/>
          </w:tcPr>
          <w:p w14:paraId="6442727A" w14:textId="77777777" w:rsidR="007F081A" w:rsidRDefault="007F081A" w:rsidP="007F081A">
            <w:r>
              <w:t xml:space="preserve">Официальный поставщик / авторизованный партнер производителя предлагаемого оборудования с предоставлением </w:t>
            </w:r>
            <w:proofErr w:type="spellStart"/>
            <w:r>
              <w:t>авторизационного</w:t>
            </w:r>
            <w:proofErr w:type="spellEnd"/>
            <w:r>
              <w:t xml:space="preserve"> письма/подтверждения статуса на данную закупку.</w:t>
            </w:r>
            <w:r>
              <w:br/>
              <w:t>• Наличие сертифицированных инженеров по направлению СХД/системной интеграции, привлекаемых к работам в ЦОД Заказчика.</w:t>
            </w:r>
            <w:r>
              <w:br/>
              <w:t>• Официальная гарантия производителя и техническая поддержка на весь гарантийный срок.</w:t>
            </w:r>
            <w:r>
              <w:br/>
              <w:t>• Авторизованный сервисный центр либо действующее сервисное соглашение (SLA) на территории Республики Казахстан.</w:t>
            </w:r>
            <w:r>
              <w:br/>
              <w:t>• Подтвержденный опыт поставки и внедрения СХД корпоративного класса в РК не менее 2 лет.</w:t>
            </w:r>
            <w:r>
              <w:br/>
              <w:t xml:space="preserve">• В коммерческом предложении должна быть указана точная конфигурация каждой СХД отдельно: модель, контроллеры, объем кэш-памяти, тип/модель/количество SSD, RAID/защита данных, расчет </w:t>
            </w:r>
            <w:proofErr w:type="spellStart"/>
            <w:r>
              <w:t>raw</w:t>
            </w:r>
            <w:proofErr w:type="spellEnd"/>
            <w:r>
              <w:t>/</w:t>
            </w:r>
            <w:proofErr w:type="spellStart"/>
            <w:r>
              <w:t>usable</w:t>
            </w:r>
            <w:proofErr w:type="spellEnd"/>
            <w:r>
              <w:t xml:space="preserve"> </w:t>
            </w:r>
            <w:proofErr w:type="spellStart"/>
            <w:r>
              <w:t>capacity</w:t>
            </w:r>
            <w:proofErr w:type="spellEnd"/>
            <w:r>
              <w:t>, интерфейсные порты, SFP28, лицензии и срок поддержки.</w:t>
            </w:r>
            <w:r>
              <w:br/>
              <w:t xml:space="preserve">• Комплектность сетевого подключения должна быть расписана отдельно для СХД DC и отдельно для СХД DR с указанием количества 25GbE портов, SFP28-трансиверов на стороне СХД, SFP28-трансиверов на стороне </w:t>
            </w:r>
            <w:proofErr w:type="spellStart"/>
            <w:r>
              <w:t>Juniper</w:t>
            </w:r>
            <w:proofErr w:type="spellEnd"/>
            <w:r>
              <w:t xml:space="preserve">, оптических </w:t>
            </w:r>
            <w:proofErr w:type="spellStart"/>
            <w:r>
              <w:t>патчкордов</w:t>
            </w:r>
            <w:proofErr w:type="spellEnd"/>
            <w:r>
              <w:t xml:space="preserve"> и </w:t>
            </w:r>
            <w:proofErr w:type="spellStart"/>
            <w:r>
              <w:t>Management</w:t>
            </w:r>
            <w:proofErr w:type="spellEnd"/>
            <w:r>
              <w:t>-подключений. Количество, указанное для одной СХД, не может трактоваться как суммарное количество на обе СХД.</w:t>
            </w:r>
            <w:r>
              <w:br/>
              <w:t xml:space="preserve">• Стоимость должна быть приведена отдельно по СХД DC (не менее 28 ТБ </w:t>
            </w:r>
            <w:proofErr w:type="spellStart"/>
            <w:r>
              <w:t>usable</w:t>
            </w:r>
            <w:proofErr w:type="spellEnd"/>
            <w:r>
              <w:t xml:space="preserve">), отдельно по СХД DR (не менее 19 ТБ </w:t>
            </w:r>
            <w:proofErr w:type="spellStart"/>
            <w:r>
              <w:t>usable</w:t>
            </w:r>
            <w:proofErr w:type="spellEnd"/>
            <w:r>
              <w:t>) и общим итогом по двум комплектам.</w:t>
            </w:r>
            <w:r>
              <w:br/>
              <w:t>• Поставщик обязан подтвердить, что обе предложенные СХД относятся к одной аппаратно-программной платформе производителя; различие конфигураций допускается только в установленной дисковой емкости.</w:t>
            </w:r>
            <w:r>
              <w:br/>
              <w:t xml:space="preserve">• Поставщик обязан отдельно подтвердить соответствие требованию производительности не менее 200 000 IOPS при 8 </w:t>
            </w:r>
            <w:proofErr w:type="spellStart"/>
            <w:r>
              <w:t>KiB</w:t>
            </w:r>
            <w:proofErr w:type="spellEnd"/>
            <w:r>
              <w:t xml:space="preserve"> </w:t>
            </w:r>
            <w:proofErr w:type="spellStart"/>
            <w:r>
              <w:t>random</w:t>
            </w:r>
            <w:proofErr w:type="spellEnd"/>
            <w:r>
              <w:t xml:space="preserve">, профиль 70% </w:t>
            </w:r>
            <w:proofErr w:type="spellStart"/>
            <w:r>
              <w:t>Read</w:t>
            </w:r>
            <w:proofErr w:type="spellEnd"/>
            <w:r>
              <w:t xml:space="preserve"> / 30% </w:t>
            </w:r>
            <w:proofErr w:type="spellStart"/>
            <w:r>
              <w:t>Write</w:t>
            </w:r>
            <w:proofErr w:type="spellEnd"/>
            <w:r>
              <w:t xml:space="preserve">, на каждую СХД при средней </w:t>
            </w:r>
            <w:proofErr w:type="spellStart"/>
            <w:r>
              <w:t>latency</w:t>
            </w:r>
            <w:proofErr w:type="spellEnd"/>
            <w:r>
              <w:t xml:space="preserve"> не более 2 </w:t>
            </w:r>
            <w:proofErr w:type="spellStart"/>
            <w:r>
              <w:t>мс</w:t>
            </w:r>
            <w:proofErr w:type="spellEnd"/>
            <w:r>
              <w:t>.</w:t>
            </w:r>
            <w:r>
              <w:br/>
              <w:t>• Поставщик обязан указать поддерживаемые блочные протоколы (</w:t>
            </w:r>
            <w:proofErr w:type="spellStart"/>
            <w:r>
              <w:t>iSCSI</w:t>
            </w:r>
            <w:proofErr w:type="spellEnd"/>
            <w:r>
              <w:t xml:space="preserve"> и/или </w:t>
            </w:r>
            <w:proofErr w:type="spellStart"/>
            <w:r>
              <w:t>NVMe</w:t>
            </w:r>
            <w:proofErr w:type="spellEnd"/>
            <w:r>
              <w:t xml:space="preserve">/TCP), подтвердить поддержку MPIO и указать, требуется </w:t>
            </w:r>
            <w:r>
              <w:lastRenderedPageBreak/>
              <w:t>ли какое-либо дополнительное лицензирование для их использования.</w:t>
            </w:r>
            <w:r>
              <w:br/>
              <w:t xml:space="preserve">• Поставщик обязан подтвердить возможность расширения каждой СХД как минимум до 80 ТБ </w:t>
            </w:r>
            <w:proofErr w:type="spellStart"/>
            <w:r>
              <w:t>usable</w:t>
            </w:r>
            <w:proofErr w:type="spellEnd"/>
            <w:r>
              <w:t xml:space="preserve"> без замены базовых контроллеров и указать максимально поддерживаемую емкость модели, а также штатный способ расширения (добавление SSD/полок).</w:t>
            </w:r>
            <w:r>
              <w:br/>
              <w:t>• Поставщик обязан представить полный перечень лицензий, входящих в стоимость предложения, и отдельно указать любые функции, требующие дополнительной лицензии или подписки.</w:t>
            </w:r>
            <w:r>
              <w:br/>
              <w:t xml:space="preserve">• </w:t>
            </w:r>
            <w:proofErr w:type="spellStart"/>
            <w:r>
              <w:t>Нативную</w:t>
            </w:r>
            <w:proofErr w:type="spellEnd"/>
            <w:r>
              <w:t xml:space="preserve"> репликацию СХД и соответствующие лицензии в обязательную стоимость предложения включать не требуется. При наличии данного функционала в базовой лицензии это необходимо указать; платная лицензия на репликацию может быть приведена только как отдельная необязательная опция.</w:t>
            </w:r>
            <w:r>
              <w:br/>
              <w:t xml:space="preserve">• В стоимость коммерческого предложения включить оборудование, рельсы/крепеж, SFP28-модули, </w:t>
            </w:r>
            <w:proofErr w:type="spellStart"/>
            <w:r>
              <w:t>патчкорды</w:t>
            </w:r>
            <w:proofErr w:type="spellEnd"/>
            <w:r>
              <w:t xml:space="preserve">, доставку до обоих ЦОД, физический монтаж, настройку, ПНР, интеграцию с </w:t>
            </w:r>
            <w:proofErr w:type="spellStart"/>
            <w:r>
              <w:t>VMware</w:t>
            </w:r>
            <w:proofErr w:type="spellEnd"/>
            <w:r>
              <w:t xml:space="preserve"> и ввод обеих СХД в эксплуатацию.</w:t>
            </w:r>
            <w:r>
              <w:br/>
              <w:t>• Предложения поставщиков, применяющих специальный налоговый режим на основе упрощенной декларации, не рассматриваются.</w:t>
            </w:r>
            <w:r>
              <w:br/>
              <w:t>• К коммерческому предложению приложить точную спецификацию, сроки поставки, условия оплаты и гарантийный срок.</w:t>
            </w:r>
          </w:p>
          <w:p w14:paraId="7C786EA1" w14:textId="44F1F679" w:rsidR="00FA737F" w:rsidRPr="00FA737F" w:rsidRDefault="00FA737F" w:rsidP="007F081A">
            <w:r>
              <w:t xml:space="preserve">• </w:t>
            </w:r>
            <w:r w:rsidRPr="006157C7">
              <w:t xml:space="preserve">Предоставление </w:t>
            </w:r>
            <w:proofErr w:type="spellStart"/>
            <w:r w:rsidRPr="006157C7">
              <w:t>оборотно</w:t>
            </w:r>
            <w:proofErr w:type="spellEnd"/>
            <w:r w:rsidRPr="006157C7">
              <w:t>-сальдовой ведомости за предыдущий год</w:t>
            </w:r>
            <w:r w:rsidRPr="00FA737F">
              <w:t>.</w:t>
            </w:r>
          </w:p>
          <w:p w14:paraId="3EDAC4E5" w14:textId="248AD0C9" w:rsidR="00FA737F" w:rsidRPr="00FA737F" w:rsidRDefault="00FA737F" w:rsidP="007F081A">
            <w:pPr>
              <w:rPr>
                <w:i/>
              </w:rPr>
            </w:pPr>
          </w:p>
        </w:tc>
      </w:tr>
    </w:tbl>
    <w:p w14:paraId="7E55D63A" w14:textId="5DD6DD4D" w:rsidR="00915D41" w:rsidRDefault="00915D41" w:rsidP="00FA737F">
      <w:pPr>
        <w:pStyle w:val="1112"/>
        <w:jc w:val="left"/>
      </w:pPr>
    </w:p>
    <w:p w14:paraId="3E0863E2" w14:textId="77777777" w:rsidR="00915D41" w:rsidRDefault="00915D41" w:rsidP="00BE4341">
      <w:pPr>
        <w:pStyle w:val="1112"/>
      </w:pPr>
    </w:p>
    <w:p w14:paraId="2BBBAE30" w14:textId="25EFE2CB" w:rsidR="00C23360" w:rsidRDefault="00C23360" w:rsidP="00BE4341">
      <w:pPr>
        <w:pStyle w:val="1112"/>
      </w:pPr>
    </w:p>
    <w:sectPr w:rsidR="00C23360" w:rsidSect="00AE3613">
      <w:headerReference w:type="default" r:id="rId8"/>
      <w:footerReference w:type="default" r:id="rId9"/>
      <w:headerReference w:type="first" r:id="rId10"/>
      <w:footerReference w:type="first" r:id="rId11"/>
      <w:pgSz w:w="11906" w:h="16838"/>
      <w:pgMar w:top="862" w:right="851" w:bottom="992" w:left="1701" w:header="284" w:footer="266"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5239B" w16cex:dateUtc="2026-09-16T09:18:00Z"/>
  <w16cex:commentExtensible w16cex:durableId="2E5522EA" w16cex:dateUtc="2026-09-16T09:15:00Z"/>
  <w16cex:commentExtensible w16cex:durableId="2E55246A" w16cex:dateUtc="2026-09-16T09:21:00Z"/>
  <w16cex:commentExtensible w16cex:durableId="2E5524B9" w16cex:dateUtc="2026-09-16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80227E" w16cid:durableId="2E552244"/>
  <w16cid:commentId w16cid:paraId="539C40F4" w16cid:durableId="2E55239B"/>
  <w16cid:commentId w16cid:paraId="4BA7B3A8" w16cid:durableId="2E552245"/>
  <w16cid:commentId w16cid:paraId="51FD533E" w16cid:durableId="2E552246"/>
  <w16cid:commentId w16cid:paraId="5637489B" w16cid:durableId="2E5522EA"/>
  <w16cid:commentId w16cid:paraId="6B48B724" w16cid:durableId="2E552247"/>
  <w16cid:commentId w16cid:paraId="6E8053E7" w16cid:durableId="2E552248"/>
  <w16cid:commentId w16cid:paraId="0EE9AFEE" w16cid:durableId="2E552249"/>
  <w16cid:commentId w16cid:paraId="798E9637" w16cid:durableId="2E55224A"/>
  <w16cid:commentId w16cid:paraId="5785B786" w16cid:durableId="2E55246A"/>
  <w16cid:commentId w16cid:paraId="67D9E5F5" w16cid:durableId="2E55224B"/>
  <w16cid:commentId w16cid:paraId="14BF475B" w16cid:durableId="2E5524B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9D620" w14:textId="77777777" w:rsidR="00CF02E1" w:rsidRDefault="00CF02E1" w:rsidP="00205A0A">
      <w:r>
        <w:separator/>
      </w:r>
    </w:p>
  </w:endnote>
  <w:endnote w:type="continuationSeparator" w:id="0">
    <w:p w14:paraId="49855A5F" w14:textId="77777777" w:rsidR="00CF02E1" w:rsidRDefault="00CF02E1" w:rsidP="00205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818223"/>
      <w:docPartObj>
        <w:docPartGallery w:val="Page Numbers (Bottom of Page)"/>
        <w:docPartUnique/>
      </w:docPartObj>
    </w:sdtPr>
    <w:sdtEndPr>
      <w:rPr>
        <w:noProof/>
      </w:rPr>
    </w:sdtEndPr>
    <w:sdtContent>
      <w:p w14:paraId="7FD0ED56" w14:textId="4CC892B7" w:rsidR="00A27CE1" w:rsidRDefault="00A27CE1">
        <w:pPr>
          <w:pStyle w:val="a6"/>
          <w:jc w:val="center"/>
        </w:pPr>
        <w:r>
          <w:fldChar w:fldCharType="begin"/>
        </w:r>
        <w:r>
          <w:instrText xml:space="preserve"> PAGE   \* MERGEFORMAT </w:instrText>
        </w:r>
        <w:r>
          <w:fldChar w:fldCharType="separate"/>
        </w:r>
        <w:r w:rsidR="008C7A58">
          <w:rPr>
            <w:noProof/>
          </w:rPr>
          <w:t>7</w:t>
        </w:r>
        <w:r>
          <w:rPr>
            <w:noProof/>
          </w:rPr>
          <w:fldChar w:fldCharType="end"/>
        </w:r>
      </w:p>
    </w:sdtContent>
  </w:sdt>
  <w:p w14:paraId="0D2DEDE9" w14:textId="77777777" w:rsidR="00A27CE1" w:rsidRPr="00203522" w:rsidRDefault="00A27CE1" w:rsidP="00203522">
    <w:pPr>
      <w:pStyle w:val="a6"/>
      <w:ind w:left="-709"/>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A376" w14:textId="77777777" w:rsidR="00A27CE1" w:rsidRDefault="00A27CE1" w:rsidP="00FE15C7">
    <w:pPr>
      <w:pStyle w:val="a6"/>
      <w:spacing w:line="360" w:lineRule="auto"/>
      <w:ind w:left="-709"/>
      <w:jc w:val="center"/>
      <w:rPr>
        <w:rFonts w:ascii="Arial" w:hAnsi="Arial" w:cs="Arial"/>
        <w:color w:val="0B4A94"/>
        <w:sz w:val="14"/>
        <w:szCs w:val="14"/>
        <w:lang w:val="kk-KZ"/>
      </w:rPr>
    </w:pPr>
    <w:r>
      <w:rPr>
        <w:rFonts w:ascii="Arial" w:hAnsi="Arial" w:cs="Arial"/>
        <w:color w:val="0B4A94"/>
        <w:sz w:val="14"/>
        <w:szCs w:val="14"/>
        <w:lang w:val="kk-KZ"/>
      </w:rPr>
      <w:t>________________________________________________________________________________________________________________________________</w:t>
    </w:r>
  </w:p>
  <w:p w14:paraId="1E53DDD4" w14:textId="77777777" w:rsidR="00A27CE1" w:rsidRPr="006D045D" w:rsidRDefault="00A27CE1" w:rsidP="00FE15C7">
    <w:pPr>
      <w:pStyle w:val="a6"/>
      <w:spacing w:line="360" w:lineRule="auto"/>
      <w:ind w:left="-709"/>
      <w:jc w:val="center"/>
      <w:rPr>
        <w:rFonts w:ascii="Arial" w:hAnsi="Arial" w:cs="Arial"/>
        <w:color w:val="0B4A94"/>
        <w:sz w:val="14"/>
        <w:szCs w:val="14"/>
        <w:u w:val="single"/>
        <w:lang w:val="kk-KZ"/>
      </w:rPr>
    </w:pPr>
    <w:r w:rsidRPr="006D045D">
      <w:rPr>
        <w:rFonts w:ascii="Arial" w:hAnsi="Arial" w:cs="Arial"/>
        <w:color w:val="0B4A94"/>
        <w:sz w:val="14"/>
        <w:szCs w:val="14"/>
        <w:lang w:val="kk-KZ"/>
      </w:rPr>
      <w:t>Қазақстан Республикасы, 050008, Алматы қ., Әуезов</w:t>
    </w:r>
    <w:r>
      <w:rPr>
        <w:rFonts w:ascii="Arial" w:hAnsi="Arial" w:cs="Arial"/>
        <w:color w:val="0B4A94"/>
        <w:sz w:val="14"/>
        <w:szCs w:val="14"/>
        <w:lang w:val="kk-KZ"/>
      </w:rPr>
      <w:t xml:space="preserve"> </w:t>
    </w:r>
    <w:r w:rsidRPr="006D045D">
      <w:rPr>
        <w:rFonts w:ascii="Arial" w:hAnsi="Arial" w:cs="Arial"/>
        <w:color w:val="0B4A94"/>
        <w:sz w:val="14"/>
        <w:szCs w:val="14"/>
        <w:lang w:val="kk-KZ"/>
      </w:rPr>
      <w:t>к-сі, 60,</w:t>
    </w:r>
    <w:r>
      <w:rPr>
        <w:rFonts w:ascii="Arial" w:hAnsi="Arial" w:cs="Arial"/>
        <w:color w:val="0B4A94"/>
        <w:sz w:val="14"/>
        <w:szCs w:val="14"/>
        <w:lang w:val="kk-KZ"/>
      </w:rPr>
      <w:t xml:space="preserve"> </w:t>
    </w:r>
    <w:r w:rsidRPr="006D045D">
      <w:rPr>
        <w:rFonts w:ascii="Arial" w:hAnsi="Arial" w:cs="Arial"/>
        <w:color w:val="0B4A94"/>
        <w:sz w:val="14"/>
        <w:szCs w:val="14"/>
        <w:lang w:val="kk-KZ"/>
      </w:rPr>
      <w:t>БО «Almaty Residence», 10 к.</w:t>
    </w:r>
    <w:r>
      <w:rPr>
        <w:rFonts w:ascii="Arial" w:hAnsi="Arial" w:cs="Arial"/>
        <w:color w:val="0B4A94"/>
        <w:sz w:val="14"/>
        <w:szCs w:val="14"/>
        <w:lang w:val="kk-KZ"/>
      </w:rPr>
      <w:t xml:space="preserve"> </w:t>
    </w:r>
    <w:r w:rsidRPr="006D045D">
      <w:rPr>
        <w:rFonts w:ascii="Arial" w:hAnsi="Arial" w:cs="Arial"/>
        <w:color w:val="0B4A94"/>
        <w:sz w:val="14"/>
        <w:szCs w:val="14"/>
        <w:lang w:val="kk-KZ"/>
      </w:rPr>
      <w:t xml:space="preserve">тел./факс: + 7(727) 250-61-90, E-mail: </w:t>
    </w:r>
    <w:hyperlink r:id="rId1" w:history="1">
      <w:r w:rsidRPr="006D045D">
        <w:rPr>
          <w:rStyle w:val="a8"/>
          <w:rFonts w:ascii="Arial" w:hAnsi="Arial" w:cs="Arial"/>
          <w:color w:val="0B4A94"/>
          <w:sz w:val="14"/>
          <w:szCs w:val="14"/>
          <w:lang w:val="kk-KZ"/>
        </w:rPr>
        <w:t>info@acfund.kz</w:t>
      </w:r>
    </w:hyperlink>
  </w:p>
  <w:p w14:paraId="1271E071" w14:textId="77777777" w:rsidR="00A27CE1" w:rsidRPr="006D045D" w:rsidRDefault="00A27CE1" w:rsidP="00FE15C7">
    <w:pPr>
      <w:pStyle w:val="a6"/>
      <w:spacing w:line="360" w:lineRule="auto"/>
      <w:ind w:left="-709"/>
      <w:jc w:val="center"/>
      <w:rPr>
        <w:rFonts w:ascii="Arial" w:hAnsi="Arial" w:cs="Arial"/>
        <w:color w:val="0B4A94"/>
        <w:sz w:val="14"/>
        <w:szCs w:val="14"/>
        <w:lang w:val="kk-KZ"/>
      </w:rPr>
    </w:pPr>
    <w:r w:rsidRPr="006D045D">
      <w:rPr>
        <w:rFonts w:ascii="Arial" w:hAnsi="Arial" w:cs="Arial"/>
        <w:color w:val="0B4A94"/>
        <w:sz w:val="14"/>
        <w:szCs w:val="14"/>
        <w:lang w:val="kk-KZ"/>
      </w:rPr>
      <w:t xml:space="preserve">Республика Казахстан, 050008, г. </w:t>
    </w:r>
    <w:r w:rsidRPr="006D045D">
      <w:rPr>
        <w:rFonts w:ascii="Arial" w:hAnsi="Arial" w:cs="Arial"/>
        <w:color w:val="0B4A94"/>
        <w:sz w:val="14"/>
        <w:szCs w:val="14"/>
        <w:lang w:val="kk-KZ"/>
      </w:rPr>
      <w:t>Алматы, ул.Ауезова, 60,</w:t>
    </w:r>
    <w:r>
      <w:rPr>
        <w:rFonts w:ascii="Arial" w:hAnsi="Arial" w:cs="Arial"/>
        <w:color w:val="0B4A94"/>
        <w:sz w:val="14"/>
        <w:szCs w:val="14"/>
        <w:lang w:val="kk-KZ"/>
      </w:rPr>
      <w:t xml:space="preserve"> </w:t>
    </w:r>
    <w:r w:rsidRPr="006D045D">
      <w:rPr>
        <w:rFonts w:ascii="Arial" w:hAnsi="Arial" w:cs="Arial"/>
        <w:color w:val="0B4A94"/>
        <w:sz w:val="14"/>
        <w:szCs w:val="14"/>
        <w:lang w:val="kk-KZ"/>
      </w:rPr>
      <w:t xml:space="preserve">БЦ «Almaty Residence», офис 10, тел./факс: </w:t>
    </w:r>
    <w:r w:rsidRPr="006D045D">
      <w:rPr>
        <w:rFonts w:ascii="Arial" w:hAnsi="Arial" w:cs="Arial"/>
        <w:color w:val="0B4A94"/>
        <w:sz w:val="14"/>
        <w:szCs w:val="14"/>
        <w:lang w:val="kk-KZ"/>
      </w:rPr>
      <w:t xml:space="preserve">+7(727) 250-61-90, E-mail: </w:t>
    </w:r>
    <w:r>
      <w:fldChar w:fldCharType="begin"/>
    </w:r>
    <w:r w:rsidRPr="003C5B06">
      <w:rPr>
        <w:lang w:val="kk-KZ"/>
      </w:rPr>
      <w:instrText xml:space="preserve"> HYPERLINK "mailto:info@acfund.kz" </w:instrText>
    </w:r>
    <w:r>
      <w:fldChar w:fldCharType="separate"/>
    </w:r>
    <w:r w:rsidRPr="006D045D">
      <w:rPr>
        <w:rStyle w:val="a8"/>
        <w:rFonts w:ascii="Arial" w:hAnsi="Arial" w:cs="Arial"/>
        <w:color w:val="0B4A94"/>
        <w:sz w:val="14"/>
        <w:szCs w:val="14"/>
        <w:lang w:val="kk-KZ"/>
      </w:rPr>
      <w:t>info@acfund.kz</w:t>
    </w:r>
    <w:r>
      <w:rPr>
        <w:rStyle w:val="a8"/>
        <w:rFonts w:ascii="Arial" w:hAnsi="Arial" w:cs="Arial"/>
        <w:color w:val="0B4A94"/>
        <w:sz w:val="14"/>
        <w:szCs w:val="14"/>
        <w:lang w:val="kk-KZ"/>
      </w:rPr>
      <w:fldChar w:fldCharType="end"/>
    </w:r>
  </w:p>
  <w:p w14:paraId="35BBFB09" w14:textId="77777777" w:rsidR="00A27CE1" w:rsidRPr="006D045D" w:rsidRDefault="00A27CE1" w:rsidP="00FE15C7">
    <w:pPr>
      <w:pStyle w:val="a6"/>
      <w:spacing w:line="360" w:lineRule="auto"/>
      <w:ind w:left="-709"/>
      <w:jc w:val="center"/>
      <w:rPr>
        <w:rFonts w:ascii="Arial" w:hAnsi="Arial" w:cs="Arial"/>
        <w:color w:val="0B4A94"/>
        <w:sz w:val="14"/>
        <w:szCs w:val="14"/>
        <w:lang w:val="en-US"/>
      </w:rPr>
    </w:pPr>
    <w:r w:rsidRPr="006D045D">
      <w:rPr>
        <w:rFonts w:ascii="Arial" w:hAnsi="Arial" w:cs="Arial"/>
        <w:color w:val="0B4A94"/>
        <w:sz w:val="14"/>
        <w:szCs w:val="14"/>
        <w:lang w:val="kk-KZ"/>
      </w:rPr>
      <w:t>60</w:t>
    </w:r>
    <w:r w:rsidRPr="006D045D">
      <w:rPr>
        <w:rFonts w:ascii="Arial" w:hAnsi="Arial" w:cs="Arial"/>
        <w:color w:val="0B4A94"/>
        <w:sz w:val="14"/>
        <w:szCs w:val="14"/>
        <w:lang w:val="en-US"/>
      </w:rPr>
      <w:t>, Aesop str., Business center</w:t>
    </w:r>
    <w:r>
      <w:rPr>
        <w:rFonts w:ascii="Arial" w:hAnsi="Arial" w:cs="Arial"/>
        <w:color w:val="0B4A94"/>
        <w:sz w:val="14"/>
        <w:szCs w:val="14"/>
        <w:lang w:val="en-US"/>
      </w:rPr>
      <w:t xml:space="preserve"> </w:t>
    </w:r>
    <w:r w:rsidRPr="006D045D">
      <w:rPr>
        <w:rFonts w:ascii="Arial" w:hAnsi="Arial" w:cs="Arial"/>
        <w:color w:val="0B4A94"/>
        <w:sz w:val="14"/>
        <w:szCs w:val="14"/>
        <w:lang w:val="kk-KZ"/>
      </w:rPr>
      <w:t>«Almaty Residence»,</w:t>
    </w:r>
    <w:r w:rsidRPr="006D045D">
      <w:rPr>
        <w:rFonts w:ascii="Arial" w:hAnsi="Arial" w:cs="Arial"/>
        <w:color w:val="0B4A94"/>
        <w:sz w:val="14"/>
        <w:szCs w:val="14"/>
        <w:lang w:val="en-US"/>
      </w:rPr>
      <w:t xml:space="preserve"> 10 office,</w:t>
    </w:r>
    <w:r>
      <w:rPr>
        <w:rFonts w:ascii="Arial" w:hAnsi="Arial" w:cs="Arial"/>
        <w:color w:val="0B4A94"/>
        <w:sz w:val="14"/>
        <w:szCs w:val="14"/>
        <w:lang w:val="kk-KZ"/>
      </w:rPr>
      <w:t xml:space="preserve"> </w:t>
    </w:r>
    <w:r w:rsidRPr="006D045D">
      <w:rPr>
        <w:rFonts w:ascii="Arial" w:hAnsi="Arial" w:cs="Arial"/>
        <w:color w:val="0B4A94"/>
        <w:sz w:val="14"/>
        <w:szCs w:val="14"/>
        <w:lang w:val="en-US"/>
      </w:rPr>
      <w:t xml:space="preserve">050008, Almaty, Republic of Kazakhstan, tel. /fax: </w:t>
    </w:r>
    <w:r w:rsidRPr="006D045D">
      <w:rPr>
        <w:rFonts w:ascii="Arial" w:hAnsi="Arial" w:cs="Arial"/>
        <w:color w:val="0B4A94"/>
        <w:sz w:val="14"/>
        <w:szCs w:val="14"/>
        <w:lang w:val="en-GB"/>
      </w:rPr>
      <w:t xml:space="preserve">+ 7(727) 250-61-90, </w:t>
    </w:r>
    <w:r w:rsidRPr="006D045D">
      <w:rPr>
        <w:rFonts w:ascii="Arial" w:hAnsi="Arial" w:cs="Arial"/>
        <w:color w:val="0B4A94"/>
        <w:sz w:val="14"/>
        <w:szCs w:val="14"/>
        <w:lang w:val="en-US"/>
      </w:rPr>
      <w:t xml:space="preserve">E-mail: </w:t>
    </w:r>
    <w:hyperlink r:id="rId2" w:history="1">
      <w:r w:rsidRPr="006D045D">
        <w:rPr>
          <w:rStyle w:val="a8"/>
          <w:rFonts w:ascii="Arial" w:hAnsi="Arial" w:cs="Arial"/>
          <w:color w:val="0B4A94"/>
          <w:sz w:val="14"/>
          <w:szCs w:val="14"/>
          <w:lang w:val="en-US"/>
        </w:rPr>
        <w:t>info@acfund.kz</w:t>
      </w:r>
    </w:hyperlink>
  </w:p>
  <w:p w14:paraId="079A53A7" w14:textId="77777777" w:rsidR="00A27CE1" w:rsidRPr="00203522" w:rsidRDefault="00CF02E1" w:rsidP="00FE15C7">
    <w:pPr>
      <w:pStyle w:val="a6"/>
      <w:ind w:left="-709"/>
      <w:jc w:val="center"/>
    </w:pPr>
    <w:hyperlink r:id="rId3" w:history="1">
      <w:r w:rsidR="00A27CE1" w:rsidRPr="006D045D">
        <w:rPr>
          <w:rStyle w:val="a8"/>
          <w:rFonts w:ascii="Arial" w:hAnsi="Arial" w:cs="Arial"/>
          <w:color w:val="0B4A94"/>
          <w:sz w:val="14"/>
          <w:szCs w:val="14"/>
          <w:lang w:val="en-US"/>
        </w:rPr>
        <w:t>www</w:t>
      </w:r>
      <w:r w:rsidR="00A27CE1" w:rsidRPr="006D045D">
        <w:rPr>
          <w:rStyle w:val="a8"/>
          <w:rFonts w:ascii="Arial" w:hAnsi="Arial" w:cs="Arial"/>
          <w:color w:val="0B4A94"/>
          <w:sz w:val="14"/>
          <w:szCs w:val="14"/>
        </w:rPr>
        <w:t>.</w:t>
      </w:r>
      <w:proofErr w:type="spellStart"/>
      <w:r w:rsidR="00A27CE1" w:rsidRPr="006D045D">
        <w:rPr>
          <w:rStyle w:val="a8"/>
          <w:rFonts w:ascii="Arial" w:hAnsi="Arial" w:cs="Arial"/>
          <w:color w:val="0B4A94"/>
          <w:sz w:val="14"/>
          <w:szCs w:val="14"/>
          <w:lang w:val="en-US"/>
        </w:rPr>
        <w:t>asiancreditfund</w:t>
      </w:r>
      <w:proofErr w:type="spellEnd"/>
      <w:r w:rsidR="00A27CE1" w:rsidRPr="006D045D">
        <w:rPr>
          <w:rStyle w:val="a8"/>
          <w:rFonts w:ascii="Arial" w:hAnsi="Arial" w:cs="Arial"/>
          <w:color w:val="0B4A94"/>
          <w:sz w:val="14"/>
          <w:szCs w:val="14"/>
        </w:rPr>
        <w:t>.</w:t>
      </w:r>
      <w:r w:rsidR="00A27CE1" w:rsidRPr="006D045D">
        <w:rPr>
          <w:rStyle w:val="a8"/>
          <w:rFonts w:ascii="Arial" w:hAnsi="Arial" w:cs="Arial"/>
          <w:color w:val="0B4A94"/>
          <w:sz w:val="14"/>
          <w:szCs w:val="14"/>
          <w:lang w:val="en-US"/>
        </w:rPr>
        <w:t>com</w:t>
      </w:r>
    </w:hyperlink>
  </w:p>
  <w:p w14:paraId="4687D6CE" w14:textId="77777777" w:rsidR="00A27CE1" w:rsidRDefault="00A27CE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8EA59" w14:textId="77777777" w:rsidR="00CF02E1" w:rsidRDefault="00CF02E1" w:rsidP="00205A0A">
      <w:r>
        <w:separator/>
      </w:r>
    </w:p>
  </w:footnote>
  <w:footnote w:type="continuationSeparator" w:id="0">
    <w:p w14:paraId="7B173BAC" w14:textId="77777777" w:rsidR="00CF02E1" w:rsidRDefault="00CF02E1" w:rsidP="00205A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CDCBB" w14:textId="77777777" w:rsidR="00A27CE1" w:rsidRPr="00944DE9" w:rsidRDefault="00A27CE1" w:rsidP="00203522">
    <w:pPr>
      <w:pStyle w:val="aa"/>
      <w:tabs>
        <w:tab w:val="clear" w:pos="4677"/>
        <w:tab w:val="clear" w:pos="9355"/>
        <w:tab w:val="left" w:pos="646"/>
      </w:tabs>
      <w:rPr>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4639"/>
      <w:gridCol w:w="3001"/>
    </w:tblGrid>
    <w:tr w:rsidR="00A27CE1" w14:paraId="5C5A69F7" w14:textId="77777777" w:rsidTr="00082BC5">
      <w:trPr>
        <w:jc w:val="center"/>
      </w:trPr>
      <w:tc>
        <w:tcPr>
          <w:tcW w:w="789" w:type="pct"/>
          <w:vMerge w:val="restart"/>
          <w:tcBorders>
            <w:top w:val="single" w:sz="4" w:space="0" w:color="auto"/>
            <w:left w:val="single" w:sz="4" w:space="0" w:color="auto"/>
            <w:bottom w:val="single" w:sz="4" w:space="0" w:color="auto"/>
            <w:right w:val="single" w:sz="4" w:space="0" w:color="auto"/>
          </w:tcBorders>
          <w:vAlign w:val="center"/>
          <w:hideMark/>
        </w:tcPr>
        <w:p w14:paraId="034CB8BF" w14:textId="77777777" w:rsidR="00A27CE1" w:rsidRDefault="00A27CE1">
          <w:pPr>
            <w:widowControl w:val="0"/>
            <w:tabs>
              <w:tab w:val="left" w:pos="426"/>
            </w:tabs>
            <w:jc w:val="center"/>
            <w:rPr>
              <w:rFonts w:eastAsia="SimSun"/>
              <w:b/>
              <w:bCs/>
              <w:spacing w:val="-1"/>
              <w:sz w:val="16"/>
              <w:szCs w:val="16"/>
              <w:lang w:eastAsia="zh-CN"/>
            </w:rPr>
          </w:pPr>
          <w:r>
            <w:rPr>
              <w:noProof/>
            </w:rPr>
            <w:drawing>
              <wp:inline distT="0" distB="0" distL="0" distR="0" wp14:anchorId="65154D57" wp14:editId="7D44E7FB">
                <wp:extent cx="944880" cy="502920"/>
                <wp:effectExtent l="0" t="0" r="0" b="0"/>
                <wp:docPr id="2" name="Рисунок 2" descr="icon_colo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_color_"/>
                        <pic:cNvPicPr>
                          <a:picLocks noChangeAspect="1" noChangeArrowheads="1"/>
                        </pic:cNvPicPr>
                      </pic:nvPicPr>
                      <pic:blipFill>
                        <a:blip r:embed="rId1">
                          <a:extLst>
                            <a:ext uri="{28A0092B-C50C-407E-A947-70E740481C1C}">
                              <a14:useLocalDpi xmlns:a14="http://schemas.microsoft.com/office/drawing/2010/main" val="0"/>
                            </a:ext>
                          </a:extLst>
                        </a:blip>
                        <a:srcRect t="17305" b="19066"/>
                        <a:stretch>
                          <a:fillRect/>
                        </a:stretch>
                      </pic:blipFill>
                      <pic:spPr bwMode="auto">
                        <a:xfrm>
                          <a:off x="0" y="0"/>
                          <a:ext cx="961444" cy="511736"/>
                        </a:xfrm>
                        <a:prstGeom prst="rect">
                          <a:avLst/>
                        </a:prstGeom>
                        <a:noFill/>
                        <a:ln>
                          <a:noFill/>
                        </a:ln>
                      </pic:spPr>
                    </pic:pic>
                  </a:graphicData>
                </a:graphic>
              </wp:inline>
            </w:drawing>
          </w:r>
        </w:p>
      </w:tc>
      <w:tc>
        <w:tcPr>
          <w:tcW w:w="2544" w:type="pct"/>
          <w:tcBorders>
            <w:top w:val="single" w:sz="4" w:space="0" w:color="auto"/>
            <w:left w:val="single" w:sz="4" w:space="0" w:color="auto"/>
            <w:bottom w:val="single" w:sz="4" w:space="0" w:color="auto"/>
            <w:right w:val="single" w:sz="4" w:space="0" w:color="auto"/>
          </w:tcBorders>
        </w:tcPr>
        <w:p w14:paraId="31581D74" w14:textId="77777777" w:rsidR="00A27CE1" w:rsidRPr="00730F3E" w:rsidRDefault="00A27CE1" w:rsidP="009957CC">
          <w:pPr>
            <w:widowControl w:val="0"/>
            <w:jc w:val="center"/>
            <w:rPr>
              <w:rFonts w:eastAsia="SimSun"/>
              <w:bCs/>
              <w:spacing w:val="-1"/>
              <w:sz w:val="16"/>
              <w:szCs w:val="16"/>
              <w:lang w:eastAsia="zh-CN"/>
            </w:rPr>
          </w:pPr>
          <w:r>
            <w:rPr>
              <w:rFonts w:eastAsia="SimSun"/>
              <w:bCs/>
              <w:spacing w:val="-1"/>
              <w:sz w:val="16"/>
              <w:szCs w:val="16"/>
              <w:lang w:eastAsia="zh-CN"/>
            </w:rPr>
            <w:t>Редакция № 2.0</w:t>
          </w:r>
        </w:p>
      </w:tc>
      <w:tc>
        <w:tcPr>
          <w:tcW w:w="1666" w:type="pct"/>
          <w:tcBorders>
            <w:top w:val="single" w:sz="4" w:space="0" w:color="auto"/>
            <w:left w:val="single" w:sz="4" w:space="0" w:color="auto"/>
            <w:bottom w:val="single" w:sz="4" w:space="0" w:color="auto"/>
            <w:right w:val="single" w:sz="4" w:space="0" w:color="auto"/>
          </w:tcBorders>
          <w:hideMark/>
        </w:tcPr>
        <w:p w14:paraId="1C6EA91C" w14:textId="0755965F" w:rsidR="00A27CE1" w:rsidRDefault="00A27CE1">
          <w:pPr>
            <w:widowControl w:val="0"/>
            <w:jc w:val="center"/>
            <w:rPr>
              <w:rFonts w:eastAsia="SimSun"/>
              <w:bCs/>
              <w:spacing w:val="-1"/>
              <w:sz w:val="16"/>
              <w:szCs w:val="16"/>
              <w:lang w:eastAsia="zh-CN"/>
            </w:rPr>
          </w:pPr>
          <w:r>
            <w:rPr>
              <w:bCs/>
              <w:spacing w:val="-1"/>
              <w:sz w:val="16"/>
              <w:szCs w:val="16"/>
            </w:rPr>
            <w:t xml:space="preserve">Страница </w:t>
          </w:r>
          <w:r>
            <w:rPr>
              <w:bCs/>
              <w:spacing w:val="-1"/>
              <w:sz w:val="16"/>
              <w:szCs w:val="16"/>
            </w:rPr>
            <w:fldChar w:fldCharType="begin"/>
          </w:r>
          <w:r>
            <w:rPr>
              <w:bCs/>
              <w:spacing w:val="-1"/>
              <w:sz w:val="16"/>
              <w:szCs w:val="16"/>
            </w:rPr>
            <w:instrText>PAGE  \* Arabic  \* MERGEFORMAT</w:instrText>
          </w:r>
          <w:r>
            <w:rPr>
              <w:bCs/>
              <w:spacing w:val="-1"/>
              <w:sz w:val="16"/>
              <w:szCs w:val="16"/>
            </w:rPr>
            <w:fldChar w:fldCharType="separate"/>
          </w:r>
          <w:r w:rsidR="008C7A58">
            <w:rPr>
              <w:bCs/>
              <w:noProof/>
              <w:spacing w:val="-1"/>
              <w:sz w:val="16"/>
              <w:szCs w:val="16"/>
            </w:rPr>
            <w:t>7</w:t>
          </w:r>
          <w:r>
            <w:rPr>
              <w:bCs/>
              <w:spacing w:val="-1"/>
              <w:sz w:val="16"/>
              <w:szCs w:val="16"/>
            </w:rPr>
            <w:fldChar w:fldCharType="end"/>
          </w:r>
          <w:r>
            <w:rPr>
              <w:bCs/>
              <w:spacing w:val="-1"/>
              <w:sz w:val="16"/>
              <w:szCs w:val="16"/>
            </w:rPr>
            <w:t xml:space="preserve"> из </w:t>
          </w:r>
          <w:r>
            <w:rPr>
              <w:bCs/>
              <w:spacing w:val="-1"/>
              <w:sz w:val="16"/>
              <w:szCs w:val="16"/>
            </w:rPr>
            <w:fldChar w:fldCharType="begin"/>
          </w:r>
          <w:r>
            <w:rPr>
              <w:bCs/>
              <w:spacing w:val="-1"/>
              <w:sz w:val="16"/>
              <w:szCs w:val="16"/>
            </w:rPr>
            <w:instrText>NUMPAGES  \* Arabic  \* MERGEFORMAT</w:instrText>
          </w:r>
          <w:r>
            <w:rPr>
              <w:bCs/>
              <w:spacing w:val="-1"/>
              <w:sz w:val="16"/>
              <w:szCs w:val="16"/>
            </w:rPr>
            <w:fldChar w:fldCharType="separate"/>
          </w:r>
          <w:r w:rsidR="008C7A58">
            <w:rPr>
              <w:bCs/>
              <w:noProof/>
              <w:spacing w:val="-1"/>
              <w:sz w:val="16"/>
              <w:szCs w:val="16"/>
            </w:rPr>
            <w:t>7</w:t>
          </w:r>
          <w:r>
            <w:rPr>
              <w:bCs/>
              <w:spacing w:val="-1"/>
              <w:sz w:val="16"/>
              <w:szCs w:val="16"/>
            </w:rPr>
            <w:fldChar w:fldCharType="end"/>
          </w:r>
        </w:p>
      </w:tc>
    </w:tr>
    <w:tr w:rsidR="00A27CE1" w14:paraId="6473B276" w14:textId="77777777" w:rsidTr="009207F5">
      <w:trPr>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A01DEC" w14:textId="77777777" w:rsidR="00A27CE1" w:rsidRDefault="00A27CE1">
          <w:pPr>
            <w:rPr>
              <w:rFonts w:eastAsia="SimSun"/>
              <w:b/>
              <w:bCs/>
              <w:spacing w:val="-1"/>
              <w:sz w:val="16"/>
              <w:szCs w:val="16"/>
              <w:lang w:eastAsia="zh-CN"/>
            </w:rPr>
          </w:pPr>
        </w:p>
      </w:tc>
      <w:tc>
        <w:tcPr>
          <w:tcW w:w="4211" w:type="pct"/>
          <w:gridSpan w:val="2"/>
          <w:tcBorders>
            <w:top w:val="single" w:sz="4" w:space="0" w:color="auto"/>
            <w:left w:val="single" w:sz="4" w:space="0" w:color="auto"/>
            <w:bottom w:val="single" w:sz="4" w:space="0" w:color="auto"/>
            <w:right w:val="single" w:sz="4" w:space="0" w:color="auto"/>
          </w:tcBorders>
          <w:hideMark/>
        </w:tcPr>
        <w:p w14:paraId="34876EAE" w14:textId="77777777" w:rsidR="00A27CE1" w:rsidRPr="004D20FF" w:rsidRDefault="00A27CE1" w:rsidP="00AA293D">
          <w:pPr>
            <w:autoSpaceDE w:val="0"/>
            <w:autoSpaceDN w:val="0"/>
            <w:adjustRightInd w:val="0"/>
            <w:spacing w:line="240" w:lineRule="exact"/>
            <w:jc w:val="center"/>
            <w:rPr>
              <w:sz w:val="16"/>
              <w:szCs w:val="16"/>
            </w:rPr>
          </w:pPr>
          <w:r>
            <w:rPr>
              <w:bCs/>
              <w:sz w:val="16"/>
              <w:szCs w:val="16"/>
            </w:rPr>
            <w:t xml:space="preserve">Правила </w:t>
          </w:r>
          <w:r w:rsidRPr="004D20FF">
            <w:rPr>
              <w:bCs/>
              <w:sz w:val="16"/>
              <w:szCs w:val="16"/>
            </w:rPr>
            <w:t>закупо</w:t>
          </w:r>
          <w:r>
            <w:rPr>
              <w:bCs/>
              <w:sz w:val="16"/>
              <w:szCs w:val="16"/>
            </w:rPr>
            <w:t>к товаров, работ и услуг</w:t>
          </w:r>
        </w:p>
        <w:p w14:paraId="5FAF5599" w14:textId="07324B29" w:rsidR="00A27CE1" w:rsidRPr="00D1283F" w:rsidRDefault="00A27CE1" w:rsidP="00D1283F">
          <w:pPr>
            <w:widowControl w:val="0"/>
            <w:jc w:val="center"/>
            <w:rPr>
              <w:noProof/>
              <w:sz w:val="16"/>
              <w:szCs w:val="16"/>
              <w:lang w:val="kk-KZ"/>
            </w:rPr>
          </w:pPr>
          <w:r w:rsidRPr="004D20FF">
            <w:rPr>
              <w:noProof/>
              <w:sz w:val="16"/>
              <w:szCs w:val="16"/>
              <w:lang w:val="kk-KZ"/>
            </w:rPr>
            <w:t xml:space="preserve"> в ТОО «Микрофинансовая организация «Азиатский Кредитный Фонд»</w:t>
          </w:r>
        </w:p>
      </w:tc>
    </w:tr>
  </w:tbl>
  <w:p w14:paraId="4592430A" w14:textId="77777777" w:rsidR="00A27CE1" w:rsidRDefault="00A27CE1"/>
  <w:p w14:paraId="1722BF3C" w14:textId="355C07F2" w:rsidR="00A27CE1" w:rsidRDefault="00A27CE1" w:rsidP="00945CF6">
    <w:pPr>
      <w:tabs>
        <w:tab w:val="left" w:pos="6336"/>
      </w:tabs>
    </w:pP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48D77" w14:textId="77777777" w:rsidR="00A27CE1" w:rsidRDefault="00A27CE1">
    <w:pPr>
      <w:pStyle w:val="aa"/>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4639"/>
      <w:gridCol w:w="3001"/>
    </w:tblGrid>
    <w:tr w:rsidR="00A27CE1" w14:paraId="5453F452" w14:textId="77777777" w:rsidTr="00F07D2A">
      <w:trPr>
        <w:jc w:val="center"/>
      </w:trPr>
      <w:tc>
        <w:tcPr>
          <w:tcW w:w="789" w:type="pct"/>
          <w:vMerge w:val="restart"/>
          <w:tcBorders>
            <w:top w:val="single" w:sz="4" w:space="0" w:color="auto"/>
            <w:left w:val="single" w:sz="4" w:space="0" w:color="auto"/>
            <w:bottom w:val="single" w:sz="4" w:space="0" w:color="auto"/>
            <w:right w:val="single" w:sz="4" w:space="0" w:color="auto"/>
          </w:tcBorders>
          <w:vAlign w:val="center"/>
          <w:hideMark/>
        </w:tcPr>
        <w:p w14:paraId="5DB3DC61" w14:textId="77777777" w:rsidR="00A27CE1" w:rsidRDefault="00A27CE1" w:rsidP="00556373">
          <w:pPr>
            <w:widowControl w:val="0"/>
            <w:tabs>
              <w:tab w:val="left" w:pos="426"/>
            </w:tabs>
            <w:jc w:val="center"/>
            <w:rPr>
              <w:rFonts w:eastAsia="SimSun"/>
              <w:b/>
              <w:bCs/>
              <w:spacing w:val="-1"/>
              <w:sz w:val="16"/>
              <w:szCs w:val="16"/>
              <w:lang w:eastAsia="zh-CN"/>
            </w:rPr>
          </w:pPr>
          <w:r>
            <w:rPr>
              <w:noProof/>
            </w:rPr>
            <w:drawing>
              <wp:inline distT="0" distB="0" distL="0" distR="0" wp14:anchorId="57847F2B" wp14:editId="110F7F8C">
                <wp:extent cx="944880" cy="502920"/>
                <wp:effectExtent l="0" t="0" r="0" b="0"/>
                <wp:docPr id="3" name="Рисунок 3" descr="icon_colo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_color_"/>
                        <pic:cNvPicPr>
                          <a:picLocks noChangeAspect="1" noChangeArrowheads="1"/>
                        </pic:cNvPicPr>
                      </pic:nvPicPr>
                      <pic:blipFill>
                        <a:blip r:embed="rId1">
                          <a:extLst>
                            <a:ext uri="{28A0092B-C50C-407E-A947-70E740481C1C}">
                              <a14:useLocalDpi xmlns:a14="http://schemas.microsoft.com/office/drawing/2010/main" val="0"/>
                            </a:ext>
                          </a:extLst>
                        </a:blip>
                        <a:srcRect t="17305" b="19066"/>
                        <a:stretch>
                          <a:fillRect/>
                        </a:stretch>
                      </pic:blipFill>
                      <pic:spPr bwMode="auto">
                        <a:xfrm>
                          <a:off x="0" y="0"/>
                          <a:ext cx="961444" cy="511736"/>
                        </a:xfrm>
                        <a:prstGeom prst="rect">
                          <a:avLst/>
                        </a:prstGeom>
                        <a:noFill/>
                        <a:ln>
                          <a:noFill/>
                        </a:ln>
                      </pic:spPr>
                    </pic:pic>
                  </a:graphicData>
                </a:graphic>
              </wp:inline>
            </w:drawing>
          </w:r>
        </w:p>
      </w:tc>
      <w:tc>
        <w:tcPr>
          <w:tcW w:w="2544" w:type="pct"/>
          <w:tcBorders>
            <w:top w:val="single" w:sz="4" w:space="0" w:color="auto"/>
            <w:left w:val="single" w:sz="4" w:space="0" w:color="auto"/>
            <w:bottom w:val="single" w:sz="4" w:space="0" w:color="auto"/>
            <w:right w:val="single" w:sz="4" w:space="0" w:color="auto"/>
          </w:tcBorders>
        </w:tcPr>
        <w:p w14:paraId="581A6062" w14:textId="77777777" w:rsidR="00A27CE1" w:rsidRPr="00730F3E" w:rsidRDefault="00A27CE1" w:rsidP="009957CC">
          <w:pPr>
            <w:widowControl w:val="0"/>
            <w:jc w:val="center"/>
            <w:rPr>
              <w:rFonts w:eastAsia="SimSun"/>
              <w:bCs/>
              <w:spacing w:val="-1"/>
              <w:sz w:val="16"/>
              <w:szCs w:val="16"/>
              <w:lang w:eastAsia="zh-CN"/>
            </w:rPr>
          </w:pPr>
          <w:r>
            <w:rPr>
              <w:rFonts w:eastAsia="SimSun"/>
              <w:bCs/>
              <w:spacing w:val="-1"/>
              <w:sz w:val="16"/>
              <w:szCs w:val="16"/>
              <w:lang w:eastAsia="zh-CN"/>
            </w:rPr>
            <w:t>Редакция № 2.0</w:t>
          </w:r>
        </w:p>
      </w:tc>
      <w:tc>
        <w:tcPr>
          <w:tcW w:w="1666" w:type="pct"/>
          <w:tcBorders>
            <w:top w:val="single" w:sz="4" w:space="0" w:color="auto"/>
            <w:left w:val="single" w:sz="4" w:space="0" w:color="auto"/>
            <w:bottom w:val="single" w:sz="4" w:space="0" w:color="auto"/>
            <w:right w:val="single" w:sz="4" w:space="0" w:color="auto"/>
          </w:tcBorders>
          <w:hideMark/>
        </w:tcPr>
        <w:p w14:paraId="06F08611" w14:textId="04256614" w:rsidR="00A27CE1" w:rsidRDefault="00A27CE1" w:rsidP="00556373">
          <w:pPr>
            <w:widowControl w:val="0"/>
            <w:jc w:val="center"/>
            <w:rPr>
              <w:rFonts w:eastAsia="SimSun"/>
              <w:bCs/>
              <w:spacing w:val="-1"/>
              <w:sz w:val="16"/>
              <w:szCs w:val="16"/>
              <w:lang w:eastAsia="zh-CN"/>
            </w:rPr>
          </w:pPr>
          <w:r>
            <w:rPr>
              <w:bCs/>
              <w:spacing w:val="-1"/>
              <w:sz w:val="16"/>
              <w:szCs w:val="16"/>
            </w:rPr>
            <w:t xml:space="preserve">Страница </w:t>
          </w:r>
          <w:r>
            <w:rPr>
              <w:bCs/>
              <w:spacing w:val="-1"/>
              <w:sz w:val="16"/>
              <w:szCs w:val="16"/>
            </w:rPr>
            <w:fldChar w:fldCharType="begin"/>
          </w:r>
          <w:r>
            <w:rPr>
              <w:bCs/>
              <w:spacing w:val="-1"/>
              <w:sz w:val="16"/>
              <w:szCs w:val="16"/>
            </w:rPr>
            <w:instrText>PAGE  \* Arabic  \* MERGEFORMAT</w:instrText>
          </w:r>
          <w:r>
            <w:rPr>
              <w:bCs/>
              <w:spacing w:val="-1"/>
              <w:sz w:val="16"/>
              <w:szCs w:val="16"/>
            </w:rPr>
            <w:fldChar w:fldCharType="separate"/>
          </w:r>
          <w:r w:rsidR="008C7A58">
            <w:rPr>
              <w:bCs/>
              <w:noProof/>
              <w:spacing w:val="-1"/>
              <w:sz w:val="16"/>
              <w:szCs w:val="16"/>
            </w:rPr>
            <w:t>1</w:t>
          </w:r>
          <w:r>
            <w:rPr>
              <w:bCs/>
              <w:spacing w:val="-1"/>
              <w:sz w:val="16"/>
              <w:szCs w:val="16"/>
            </w:rPr>
            <w:fldChar w:fldCharType="end"/>
          </w:r>
          <w:r>
            <w:rPr>
              <w:bCs/>
              <w:spacing w:val="-1"/>
              <w:sz w:val="16"/>
              <w:szCs w:val="16"/>
            </w:rPr>
            <w:t xml:space="preserve"> из </w:t>
          </w:r>
          <w:r>
            <w:rPr>
              <w:bCs/>
              <w:spacing w:val="-1"/>
              <w:sz w:val="16"/>
              <w:szCs w:val="16"/>
            </w:rPr>
            <w:fldChar w:fldCharType="begin"/>
          </w:r>
          <w:r>
            <w:rPr>
              <w:bCs/>
              <w:spacing w:val="-1"/>
              <w:sz w:val="16"/>
              <w:szCs w:val="16"/>
            </w:rPr>
            <w:instrText>NUMPAGES  \* Arabic  \* MERGEFORMAT</w:instrText>
          </w:r>
          <w:r>
            <w:rPr>
              <w:bCs/>
              <w:spacing w:val="-1"/>
              <w:sz w:val="16"/>
              <w:szCs w:val="16"/>
            </w:rPr>
            <w:fldChar w:fldCharType="separate"/>
          </w:r>
          <w:r w:rsidR="008C7A58">
            <w:rPr>
              <w:bCs/>
              <w:noProof/>
              <w:spacing w:val="-1"/>
              <w:sz w:val="16"/>
              <w:szCs w:val="16"/>
            </w:rPr>
            <w:t>7</w:t>
          </w:r>
          <w:r>
            <w:rPr>
              <w:bCs/>
              <w:spacing w:val="-1"/>
              <w:sz w:val="16"/>
              <w:szCs w:val="16"/>
            </w:rPr>
            <w:fldChar w:fldCharType="end"/>
          </w:r>
        </w:p>
      </w:tc>
    </w:tr>
    <w:tr w:rsidR="00A27CE1" w14:paraId="3BC264F4" w14:textId="77777777" w:rsidTr="00F07D2A">
      <w:trPr>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0C5D5" w14:textId="77777777" w:rsidR="00A27CE1" w:rsidRDefault="00A27CE1" w:rsidP="00556373">
          <w:pPr>
            <w:rPr>
              <w:rFonts w:eastAsia="SimSun"/>
              <w:b/>
              <w:bCs/>
              <w:spacing w:val="-1"/>
              <w:sz w:val="16"/>
              <w:szCs w:val="16"/>
              <w:lang w:eastAsia="zh-CN"/>
            </w:rPr>
          </w:pPr>
        </w:p>
      </w:tc>
      <w:tc>
        <w:tcPr>
          <w:tcW w:w="4211" w:type="pct"/>
          <w:gridSpan w:val="2"/>
          <w:tcBorders>
            <w:top w:val="single" w:sz="4" w:space="0" w:color="auto"/>
            <w:left w:val="single" w:sz="4" w:space="0" w:color="auto"/>
            <w:bottom w:val="single" w:sz="4" w:space="0" w:color="auto"/>
            <w:right w:val="single" w:sz="4" w:space="0" w:color="auto"/>
          </w:tcBorders>
          <w:hideMark/>
        </w:tcPr>
        <w:p w14:paraId="6B424043" w14:textId="75948375" w:rsidR="00A27CE1" w:rsidRPr="004D20FF" w:rsidRDefault="00A27CE1" w:rsidP="004D20FF">
          <w:pPr>
            <w:autoSpaceDE w:val="0"/>
            <w:autoSpaceDN w:val="0"/>
            <w:adjustRightInd w:val="0"/>
            <w:spacing w:line="240" w:lineRule="exact"/>
            <w:jc w:val="center"/>
            <w:rPr>
              <w:sz w:val="16"/>
              <w:szCs w:val="16"/>
            </w:rPr>
          </w:pPr>
          <w:r>
            <w:rPr>
              <w:bCs/>
              <w:sz w:val="16"/>
              <w:szCs w:val="16"/>
            </w:rPr>
            <w:t xml:space="preserve">Правила </w:t>
          </w:r>
          <w:r w:rsidRPr="004D20FF">
            <w:rPr>
              <w:bCs/>
              <w:sz w:val="16"/>
              <w:szCs w:val="16"/>
            </w:rPr>
            <w:t>закупо</w:t>
          </w:r>
          <w:r>
            <w:rPr>
              <w:bCs/>
              <w:sz w:val="16"/>
              <w:szCs w:val="16"/>
            </w:rPr>
            <w:t>к товаров, работ и услуг</w:t>
          </w:r>
        </w:p>
        <w:p w14:paraId="67A839E8" w14:textId="77777777" w:rsidR="00A27CE1" w:rsidRPr="004D20FF" w:rsidRDefault="00A27CE1" w:rsidP="00556373">
          <w:pPr>
            <w:widowControl w:val="0"/>
            <w:jc w:val="center"/>
            <w:rPr>
              <w:noProof/>
              <w:sz w:val="16"/>
              <w:szCs w:val="16"/>
              <w:lang w:val="kk-KZ"/>
            </w:rPr>
          </w:pPr>
          <w:r w:rsidRPr="004D20FF">
            <w:rPr>
              <w:noProof/>
              <w:sz w:val="16"/>
              <w:szCs w:val="16"/>
              <w:lang w:val="kk-KZ"/>
            </w:rPr>
            <w:t xml:space="preserve"> в ТОО «Микрофинансовая организация «Азиатский Кредитный Фонд»</w:t>
          </w:r>
        </w:p>
      </w:tc>
    </w:tr>
  </w:tbl>
  <w:p w14:paraId="2BA7BF28" w14:textId="77777777" w:rsidR="00A27CE1" w:rsidRPr="00EF63D7" w:rsidRDefault="00A27CE1">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F40"/>
    <w:multiLevelType w:val="hybridMultilevel"/>
    <w:tmpl w:val="3B28CA54"/>
    <w:lvl w:ilvl="0" w:tplc="CF5C8FA6">
      <w:start w:val="1"/>
      <w:numFmt w:val="decimal"/>
      <w:suff w:val="space"/>
      <w:lvlText w:val="%1)"/>
      <w:lvlJc w:val="left"/>
      <w:pPr>
        <w:ind w:left="-141" w:firstLine="567"/>
      </w:pPr>
      <w:rPr>
        <w:rFonts w:hint="default"/>
        <w:b w:val="0"/>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 w15:restartNumberingAfterBreak="0">
    <w:nsid w:val="022E4B66"/>
    <w:multiLevelType w:val="multilevel"/>
    <w:tmpl w:val="AB98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754ED"/>
    <w:multiLevelType w:val="hybridMultilevel"/>
    <w:tmpl w:val="28BACC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080C5492"/>
    <w:multiLevelType w:val="hybridMultilevel"/>
    <w:tmpl w:val="290E85F8"/>
    <w:lvl w:ilvl="0" w:tplc="22940826">
      <w:start w:val="1"/>
      <w:numFmt w:val="decimal"/>
      <w:lvlText w:val="%1)"/>
      <w:lvlJc w:val="left"/>
      <w:pPr>
        <w:tabs>
          <w:tab w:val="num" w:pos="360"/>
        </w:tabs>
        <w:ind w:left="360" w:hanging="360"/>
      </w:pPr>
      <w:rPr>
        <w:rFonts w:ascii="Times New Roman" w:hAnsi="Times New Roman" w:cs="Times New Roman" w:hint="default"/>
        <w:b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99D0641"/>
    <w:multiLevelType w:val="multilevel"/>
    <w:tmpl w:val="45EC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64A14"/>
    <w:multiLevelType w:val="multilevel"/>
    <w:tmpl w:val="1AE63064"/>
    <w:lvl w:ilvl="0">
      <w:start w:val="1"/>
      <w:numFmt w:val="decimal"/>
      <w:suff w:val="space"/>
      <w:lvlText w:val="%1."/>
      <w:lvlJc w:val="left"/>
      <w:pPr>
        <w:ind w:left="0" w:firstLine="340"/>
      </w:pPr>
      <w:rPr>
        <w:rFonts w:hint="default"/>
        <w:color w:val="000000" w:themeColor="text1"/>
      </w:rPr>
    </w:lvl>
    <w:lvl w:ilvl="1">
      <w:start w:val="1"/>
      <w:numFmt w:val="decimal"/>
      <w:isLgl/>
      <w:suff w:val="space"/>
      <w:lvlText w:val="%1.%2"/>
      <w:lvlJc w:val="left"/>
      <w:pPr>
        <w:ind w:left="0" w:firstLine="340"/>
      </w:pPr>
      <w:rPr>
        <w:rFonts w:hint="default"/>
        <w:b w:val="0"/>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6" w15:restartNumberingAfterBreak="0">
    <w:nsid w:val="0BE459CB"/>
    <w:multiLevelType w:val="multilevel"/>
    <w:tmpl w:val="10D2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D5375"/>
    <w:multiLevelType w:val="hybridMultilevel"/>
    <w:tmpl w:val="B3228F02"/>
    <w:lvl w:ilvl="0" w:tplc="E948FBE8">
      <w:start w:val="1"/>
      <w:numFmt w:val="decimal"/>
      <w:suff w:val="space"/>
      <w:lvlText w:val="%1)"/>
      <w:lvlJc w:val="left"/>
      <w:pPr>
        <w:ind w:left="0" w:firstLine="567"/>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8" w15:restartNumberingAfterBreak="0">
    <w:nsid w:val="120C0FA9"/>
    <w:multiLevelType w:val="hybridMultilevel"/>
    <w:tmpl w:val="C6C04874"/>
    <w:lvl w:ilvl="0" w:tplc="661A516A">
      <w:start w:val="1"/>
      <w:numFmt w:val="bullet"/>
      <w:suff w:val="space"/>
      <w:lvlText w:val=""/>
      <w:lvlJc w:val="left"/>
      <w:pPr>
        <w:ind w:left="0" w:firstLine="56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783E0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59A5EF0"/>
    <w:multiLevelType w:val="hybridMultilevel"/>
    <w:tmpl w:val="B74EB4DA"/>
    <w:lvl w:ilvl="0" w:tplc="A09E7CF6">
      <w:start w:val="1"/>
      <w:numFmt w:val="bullet"/>
      <w:pStyle w:val="a"/>
      <w:lvlText w:val="-"/>
      <w:lvlJc w:val="left"/>
      <w:pPr>
        <w:tabs>
          <w:tab w:val="num" w:pos="720"/>
        </w:tabs>
        <w:ind w:left="720" w:hanging="360"/>
      </w:pPr>
      <w:rPr>
        <w:rFonts w:ascii="Courier New" w:hAnsi="Courier New" w:cs="Times New Roman" w:hint="default"/>
      </w:rPr>
    </w:lvl>
    <w:lvl w:ilvl="1" w:tplc="01B26114">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331A41"/>
    <w:multiLevelType w:val="multilevel"/>
    <w:tmpl w:val="BDFE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322A6"/>
    <w:multiLevelType w:val="hybridMultilevel"/>
    <w:tmpl w:val="6C6CE55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E81298"/>
    <w:multiLevelType w:val="multilevel"/>
    <w:tmpl w:val="064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40BD5"/>
    <w:multiLevelType w:val="multilevel"/>
    <w:tmpl w:val="26C0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365FB"/>
    <w:multiLevelType w:val="hybridMultilevel"/>
    <w:tmpl w:val="19449034"/>
    <w:lvl w:ilvl="0" w:tplc="7B86610A">
      <w:start w:val="1"/>
      <w:numFmt w:val="decimal"/>
      <w:suff w:val="space"/>
      <w:lvlText w:val="%1)"/>
      <w:lvlJc w:val="left"/>
      <w:pPr>
        <w:ind w:left="0" w:firstLine="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3F0AAA"/>
    <w:multiLevelType w:val="multilevel"/>
    <w:tmpl w:val="95BA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227AE9"/>
    <w:multiLevelType w:val="hybridMultilevel"/>
    <w:tmpl w:val="F564C2B8"/>
    <w:lvl w:ilvl="0" w:tplc="04190001">
      <w:start w:val="1"/>
      <w:numFmt w:val="bullet"/>
      <w:lvlText w:val=""/>
      <w:lvlJc w:val="left"/>
      <w:pPr>
        <w:tabs>
          <w:tab w:val="num" w:pos="1062"/>
        </w:tabs>
        <w:ind w:left="1062" w:hanging="360"/>
      </w:pPr>
      <w:rPr>
        <w:rFonts w:ascii="Symbol" w:hAnsi="Symbol" w:hint="default"/>
      </w:rPr>
    </w:lvl>
    <w:lvl w:ilvl="1" w:tplc="04190003">
      <w:start w:val="1"/>
      <w:numFmt w:val="bullet"/>
      <w:lvlText w:val="o"/>
      <w:lvlJc w:val="left"/>
      <w:pPr>
        <w:tabs>
          <w:tab w:val="num" w:pos="1782"/>
        </w:tabs>
        <w:ind w:left="1782" w:hanging="360"/>
      </w:pPr>
      <w:rPr>
        <w:rFonts w:ascii="Courier New" w:hAnsi="Courier New" w:hint="default"/>
      </w:rPr>
    </w:lvl>
    <w:lvl w:ilvl="2" w:tplc="04190005" w:tentative="1">
      <w:start w:val="1"/>
      <w:numFmt w:val="bullet"/>
      <w:lvlText w:val=""/>
      <w:lvlJc w:val="left"/>
      <w:pPr>
        <w:tabs>
          <w:tab w:val="num" w:pos="2502"/>
        </w:tabs>
        <w:ind w:left="2502" w:hanging="360"/>
      </w:pPr>
      <w:rPr>
        <w:rFonts w:ascii="Wingdings" w:hAnsi="Wingdings" w:hint="default"/>
      </w:rPr>
    </w:lvl>
    <w:lvl w:ilvl="3" w:tplc="04190001" w:tentative="1">
      <w:start w:val="1"/>
      <w:numFmt w:val="bullet"/>
      <w:lvlText w:val=""/>
      <w:lvlJc w:val="left"/>
      <w:pPr>
        <w:tabs>
          <w:tab w:val="num" w:pos="3222"/>
        </w:tabs>
        <w:ind w:left="3222" w:hanging="360"/>
      </w:pPr>
      <w:rPr>
        <w:rFonts w:ascii="Symbol" w:hAnsi="Symbol" w:hint="default"/>
      </w:rPr>
    </w:lvl>
    <w:lvl w:ilvl="4" w:tplc="04190003" w:tentative="1">
      <w:start w:val="1"/>
      <w:numFmt w:val="bullet"/>
      <w:lvlText w:val="o"/>
      <w:lvlJc w:val="left"/>
      <w:pPr>
        <w:tabs>
          <w:tab w:val="num" w:pos="3942"/>
        </w:tabs>
        <w:ind w:left="3942" w:hanging="360"/>
      </w:pPr>
      <w:rPr>
        <w:rFonts w:ascii="Courier New" w:hAnsi="Courier New" w:hint="default"/>
      </w:rPr>
    </w:lvl>
    <w:lvl w:ilvl="5" w:tplc="04190005" w:tentative="1">
      <w:start w:val="1"/>
      <w:numFmt w:val="bullet"/>
      <w:lvlText w:val=""/>
      <w:lvlJc w:val="left"/>
      <w:pPr>
        <w:tabs>
          <w:tab w:val="num" w:pos="4662"/>
        </w:tabs>
        <w:ind w:left="4662" w:hanging="360"/>
      </w:pPr>
      <w:rPr>
        <w:rFonts w:ascii="Wingdings" w:hAnsi="Wingdings" w:hint="default"/>
      </w:rPr>
    </w:lvl>
    <w:lvl w:ilvl="6" w:tplc="04190001" w:tentative="1">
      <w:start w:val="1"/>
      <w:numFmt w:val="bullet"/>
      <w:lvlText w:val=""/>
      <w:lvlJc w:val="left"/>
      <w:pPr>
        <w:tabs>
          <w:tab w:val="num" w:pos="5382"/>
        </w:tabs>
        <w:ind w:left="5382" w:hanging="360"/>
      </w:pPr>
      <w:rPr>
        <w:rFonts w:ascii="Symbol" w:hAnsi="Symbol" w:hint="default"/>
      </w:rPr>
    </w:lvl>
    <w:lvl w:ilvl="7" w:tplc="04190003" w:tentative="1">
      <w:start w:val="1"/>
      <w:numFmt w:val="bullet"/>
      <w:lvlText w:val="o"/>
      <w:lvlJc w:val="left"/>
      <w:pPr>
        <w:tabs>
          <w:tab w:val="num" w:pos="6102"/>
        </w:tabs>
        <w:ind w:left="6102" w:hanging="360"/>
      </w:pPr>
      <w:rPr>
        <w:rFonts w:ascii="Courier New" w:hAnsi="Courier New" w:hint="default"/>
      </w:rPr>
    </w:lvl>
    <w:lvl w:ilvl="8" w:tplc="04190005" w:tentative="1">
      <w:start w:val="1"/>
      <w:numFmt w:val="bullet"/>
      <w:lvlText w:val=""/>
      <w:lvlJc w:val="left"/>
      <w:pPr>
        <w:tabs>
          <w:tab w:val="num" w:pos="6822"/>
        </w:tabs>
        <w:ind w:left="6822" w:hanging="360"/>
      </w:pPr>
      <w:rPr>
        <w:rFonts w:ascii="Wingdings" w:hAnsi="Wingdings" w:hint="default"/>
      </w:rPr>
    </w:lvl>
  </w:abstractNum>
  <w:abstractNum w:abstractNumId="18" w15:restartNumberingAfterBreak="0">
    <w:nsid w:val="3EFB537F"/>
    <w:multiLevelType w:val="hybridMultilevel"/>
    <w:tmpl w:val="A57E85AE"/>
    <w:lvl w:ilvl="0" w:tplc="29AE40A8">
      <w:start w:val="1"/>
      <w:numFmt w:val="decimal"/>
      <w:lvlText w:val="%1."/>
      <w:lvlJc w:val="left"/>
      <w:pPr>
        <w:tabs>
          <w:tab w:val="num" w:pos="928"/>
        </w:tabs>
        <w:ind w:left="928" w:hanging="360"/>
      </w:pPr>
      <w:rPr>
        <w:rFonts w:ascii="Times New Roman" w:hAnsi="Times New Roman" w:cs="Times New Roman" w:hint="default"/>
        <w:b w:val="0"/>
        <w:i w:val="0"/>
        <w:color w:val="auto"/>
        <w:sz w:val="24"/>
        <w:szCs w:val="24"/>
        <w:lang w:val="ru-RU"/>
      </w:rPr>
    </w:lvl>
    <w:lvl w:ilvl="1" w:tplc="04190011">
      <w:start w:val="1"/>
      <w:numFmt w:val="decimal"/>
      <w:lvlText w:val="%2)"/>
      <w:lvlJc w:val="left"/>
      <w:pPr>
        <w:tabs>
          <w:tab w:val="num" w:pos="644"/>
        </w:tabs>
        <w:ind w:left="644" w:hanging="360"/>
      </w:pPr>
      <w:rPr>
        <w:rFonts w:hint="default"/>
        <w:i w:val="0"/>
      </w:rPr>
    </w:lvl>
    <w:lvl w:ilvl="2" w:tplc="0419001B" w:tentative="1">
      <w:start w:val="1"/>
      <w:numFmt w:val="lowerRoman"/>
      <w:lvlText w:val="%3."/>
      <w:lvlJc w:val="right"/>
      <w:pPr>
        <w:tabs>
          <w:tab w:val="num" w:pos="2416"/>
        </w:tabs>
        <w:ind w:left="2416" w:hanging="180"/>
      </w:pPr>
    </w:lvl>
    <w:lvl w:ilvl="3" w:tplc="0419000F" w:tentative="1">
      <w:start w:val="1"/>
      <w:numFmt w:val="decimal"/>
      <w:lvlText w:val="%4."/>
      <w:lvlJc w:val="left"/>
      <w:pPr>
        <w:tabs>
          <w:tab w:val="num" w:pos="3136"/>
        </w:tabs>
        <w:ind w:left="3136" w:hanging="360"/>
      </w:pPr>
    </w:lvl>
    <w:lvl w:ilvl="4" w:tplc="04190019" w:tentative="1">
      <w:start w:val="1"/>
      <w:numFmt w:val="lowerLetter"/>
      <w:lvlText w:val="%5."/>
      <w:lvlJc w:val="left"/>
      <w:pPr>
        <w:tabs>
          <w:tab w:val="num" w:pos="3856"/>
        </w:tabs>
        <w:ind w:left="3856" w:hanging="360"/>
      </w:pPr>
    </w:lvl>
    <w:lvl w:ilvl="5" w:tplc="0419001B" w:tentative="1">
      <w:start w:val="1"/>
      <w:numFmt w:val="lowerRoman"/>
      <w:lvlText w:val="%6."/>
      <w:lvlJc w:val="right"/>
      <w:pPr>
        <w:tabs>
          <w:tab w:val="num" w:pos="4576"/>
        </w:tabs>
        <w:ind w:left="4576" w:hanging="180"/>
      </w:pPr>
    </w:lvl>
    <w:lvl w:ilvl="6" w:tplc="0419000F" w:tentative="1">
      <w:start w:val="1"/>
      <w:numFmt w:val="decimal"/>
      <w:lvlText w:val="%7."/>
      <w:lvlJc w:val="left"/>
      <w:pPr>
        <w:tabs>
          <w:tab w:val="num" w:pos="5296"/>
        </w:tabs>
        <w:ind w:left="5296" w:hanging="360"/>
      </w:pPr>
    </w:lvl>
    <w:lvl w:ilvl="7" w:tplc="04190019" w:tentative="1">
      <w:start w:val="1"/>
      <w:numFmt w:val="lowerLetter"/>
      <w:lvlText w:val="%8."/>
      <w:lvlJc w:val="left"/>
      <w:pPr>
        <w:tabs>
          <w:tab w:val="num" w:pos="6016"/>
        </w:tabs>
        <w:ind w:left="6016" w:hanging="360"/>
      </w:pPr>
    </w:lvl>
    <w:lvl w:ilvl="8" w:tplc="0419001B" w:tentative="1">
      <w:start w:val="1"/>
      <w:numFmt w:val="lowerRoman"/>
      <w:lvlText w:val="%9."/>
      <w:lvlJc w:val="right"/>
      <w:pPr>
        <w:tabs>
          <w:tab w:val="num" w:pos="6736"/>
        </w:tabs>
        <w:ind w:left="6736" w:hanging="180"/>
      </w:pPr>
    </w:lvl>
  </w:abstractNum>
  <w:abstractNum w:abstractNumId="19" w15:restartNumberingAfterBreak="0">
    <w:nsid w:val="46C95532"/>
    <w:multiLevelType w:val="multilevel"/>
    <w:tmpl w:val="1C4A840C"/>
    <w:lvl w:ilvl="0">
      <w:start w:val="5"/>
      <w:numFmt w:val="decimal"/>
      <w:lvlText w:val="%1"/>
      <w:lvlJc w:val="left"/>
      <w:pPr>
        <w:ind w:left="360" w:hanging="360"/>
      </w:pPr>
      <w:rPr>
        <w:rFonts w:hint="default"/>
      </w:rPr>
    </w:lvl>
    <w:lvl w:ilvl="1">
      <w:start w:val="1"/>
      <w:numFmt w:val="decimal"/>
      <w:lvlText w:val="6.%2."/>
      <w:lvlJc w:val="left"/>
      <w:pPr>
        <w:ind w:left="1296" w:hanging="360"/>
      </w:pPr>
      <w:rPr>
        <w:rFonts w:hint="default"/>
        <w:b w:val="0"/>
        <w:color w:val="auto"/>
        <w:sz w:val="28"/>
        <w:szCs w:val="28"/>
      </w:rPr>
    </w:lvl>
    <w:lvl w:ilvl="2">
      <w:start w:val="1"/>
      <w:numFmt w:val="decimal"/>
      <w:lvlText w:val="%1.%2.%3"/>
      <w:lvlJc w:val="left"/>
      <w:pPr>
        <w:ind w:left="2592" w:hanging="720"/>
      </w:pPr>
      <w:rPr>
        <w:rFonts w:hint="default"/>
      </w:rPr>
    </w:lvl>
    <w:lvl w:ilvl="3">
      <w:start w:val="1"/>
      <w:numFmt w:val="decimal"/>
      <w:lvlText w:val="%1.%2.%3.%4"/>
      <w:lvlJc w:val="left"/>
      <w:pPr>
        <w:ind w:left="3528" w:hanging="720"/>
      </w:pPr>
      <w:rPr>
        <w:rFonts w:hint="default"/>
      </w:rPr>
    </w:lvl>
    <w:lvl w:ilvl="4">
      <w:start w:val="1"/>
      <w:numFmt w:val="decimal"/>
      <w:lvlText w:val="%1.%2.%3.%4.%5"/>
      <w:lvlJc w:val="left"/>
      <w:pPr>
        <w:ind w:left="4824"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7056" w:hanging="1440"/>
      </w:pPr>
      <w:rPr>
        <w:rFonts w:hint="default"/>
      </w:rPr>
    </w:lvl>
    <w:lvl w:ilvl="7">
      <w:start w:val="1"/>
      <w:numFmt w:val="decimal"/>
      <w:lvlText w:val="%1.%2.%3.%4.%5.%6.%7.%8"/>
      <w:lvlJc w:val="left"/>
      <w:pPr>
        <w:ind w:left="7992" w:hanging="1440"/>
      </w:pPr>
      <w:rPr>
        <w:rFonts w:hint="default"/>
      </w:rPr>
    </w:lvl>
    <w:lvl w:ilvl="8">
      <w:start w:val="1"/>
      <w:numFmt w:val="decimal"/>
      <w:lvlText w:val="%1.%2.%3.%4.%5.%6.%7.%8.%9"/>
      <w:lvlJc w:val="left"/>
      <w:pPr>
        <w:ind w:left="9288" w:hanging="1800"/>
      </w:pPr>
      <w:rPr>
        <w:rFonts w:hint="default"/>
      </w:rPr>
    </w:lvl>
  </w:abstractNum>
  <w:abstractNum w:abstractNumId="20" w15:restartNumberingAfterBreak="0">
    <w:nsid w:val="470E3949"/>
    <w:multiLevelType w:val="multilevel"/>
    <w:tmpl w:val="A54E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A77D80"/>
    <w:multiLevelType w:val="hybridMultilevel"/>
    <w:tmpl w:val="76201540"/>
    <w:lvl w:ilvl="0" w:tplc="29AE40A8">
      <w:start w:val="1"/>
      <w:numFmt w:val="decimal"/>
      <w:lvlText w:val="%1."/>
      <w:lvlJc w:val="left"/>
      <w:pPr>
        <w:tabs>
          <w:tab w:val="num" w:pos="1070"/>
        </w:tabs>
        <w:ind w:left="1070" w:hanging="360"/>
      </w:pPr>
      <w:rPr>
        <w:rFonts w:ascii="Times New Roman" w:hAnsi="Times New Roman" w:cs="Times New Roman" w:hint="default"/>
        <w:b w:val="0"/>
        <w:i w:val="0"/>
        <w:color w:val="auto"/>
        <w:sz w:val="24"/>
        <w:szCs w:val="24"/>
        <w:lang w:val="ru-RU"/>
      </w:rPr>
    </w:lvl>
    <w:lvl w:ilvl="1" w:tplc="8854A376">
      <w:start w:val="1"/>
      <w:numFmt w:val="decimal"/>
      <w:lvlText w:val="%2)"/>
      <w:lvlJc w:val="left"/>
      <w:pPr>
        <w:tabs>
          <w:tab w:val="num" w:pos="360"/>
        </w:tabs>
        <w:ind w:left="360" w:hanging="360"/>
      </w:pPr>
      <w:rPr>
        <w:rFonts w:hint="default"/>
        <w:b w:val="0"/>
        <w:i w:val="0"/>
        <w:sz w:val="24"/>
        <w:szCs w:val="24"/>
      </w:rPr>
    </w:lvl>
    <w:lvl w:ilvl="2" w:tplc="0419001B" w:tentative="1">
      <w:start w:val="1"/>
      <w:numFmt w:val="lowerRoman"/>
      <w:lvlText w:val="%3."/>
      <w:lvlJc w:val="right"/>
      <w:pPr>
        <w:tabs>
          <w:tab w:val="num" w:pos="2416"/>
        </w:tabs>
        <w:ind w:left="2416" w:hanging="180"/>
      </w:pPr>
    </w:lvl>
    <w:lvl w:ilvl="3" w:tplc="0419000F" w:tentative="1">
      <w:start w:val="1"/>
      <w:numFmt w:val="decimal"/>
      <w:lvlText w:val="%4."/>
      <w:lvlJc w:val="left"/>
      <w:pPr>
        <w:tabs>
          <w:tab w:val="num" w:pos="3136"/>
        </w:tabs>
        <w:ind w:left="3136" w:hanging="360"/>
      </w:pPr>
    </w:lvl>
    <w:lvl w:ilvl="4" w:tplc="04190019" w:tentative="1">
      <w:start w:val="1"/>
      <w:numFmt w:val="lowerLetter"/>
      <w:lvlText w:val="%5."/>
      <w:lvlJc w:val="left"/>
      <w:pPr>
        <w:tabs>
          <w:tab w:val="num" w:pos="3856"/>
        </w:tabs>
        <w:ind w:left="3856" w:hanging="360"/>
      </w:pPr>
    </w:lvl>
    <w:lvl w:ilvl="5" w:tplc="0419001B" w:tentative="1">
      <w:start w:val="1"/>
      <w:numFmt w:val="lowerRoman"/>
      <w:lvlText w:val="%6."/>
      <w:lvlJc w:val="right"/>
      <w:pPr>
        <w:tabs>
          <w:tab w:val="num" w:pos="4576"/>
        </w:tabs>
        <w:ind w:left="4576" w:hanging="180"/>
      </w:pPr>
    </w:lvl>
    <w:lvl w:ilvl="6" w:tplc="0419000F" w:tentative="1">
      <w:start w:val="1"/>
      <w:numFmt w:val="decimal"/>
      <w:lvlText w:val="%7."/>
      <w:lvlJc w:val="left"/>
      <w:pPr>
        <w:tabs>
          <w:tab w:val="num" w:pos="5296"/>
        </w:tabs>
        <w:ind w:left="5296" w:hanging="360"/>
      </w:pPr>
    </w:lvl>
    <w:lvl w:ilvl="7" w:tplc="04190019" w:tentative="1">
      <w:start w:val="1"/>
      <w:numFmt w:val="lowerLetter"/>
      <w:lvlText w:val="%8."/>
      <w:lvlJc w:val="left"/>
      <w:pPr>
        <w:tabs>
          <w:tab w:val="num" w:pos="6016"/>
        </w:tabs>
        <w:ind w:left="6016" w:hanging="360"/>
      </w:pPr>
    </w:lvl>
    <w:lvl w:ilvl="8" w:tplc="0419001B" w:tentative="1">
      <w:start w:val="1"/>
      <w:numFmt w:val="lowerRoman"/>
      <w:lvlText w:val="%9."/>
      <w:lvlJc w:val="right"/>
      <w:pPr>
        <w:tabs>
          <w:tab w:val="num" w:pos="6736"/>
        </w:tabs>
        <w:ind w:left="6736" w:hanging="180"/>
      </w:pPr>
    </w:lvl>
  </w:abstractNum>
  <w:abstractNum w:abstractNumId="22" w15:restartNumberingAfterBreak="0">
    <w:nsid w:val="4BBC32A5"/>
    <w:multiLevelType w:val="multilevel"/>
    <w:tmpl w:val="63B45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04777E"/>
    <w:multiLevelType w:val="multilevel"/>
    <w:tmpl w:val="F4EA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125FD4"/>
    <w:multiLevelType w:val="multilevel"/>
    <w:tmpl w:val="043E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92BF7"/>
    <w:multiLevelType w:val="hybridMultilevel"/>
    <w:tmpl w:val="E8A80BA2"/>
    <w:lvl w:ilvl="0" w:tplc="D696BFBA">
      <w:start w:val="1"/>
      <w:numFmt w:val="decimal"/>
      <w:suff w:val="space"/>
      <w:lvlText w:val="%1)"/>
      <w:lvlJc w:val="left"/>
      <w:pPr>
        <w:ind w:left="0" w:firstLine="567"/>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6" w15:restartNumberingAfterBreak="0">
    <w:nsid w:val="52B07759"/>
    <w:multiLevelType w:val="hybridMultilevel"/>
    <w:tmpl w:val="A7DC0C66"/>
    <w:lvl w:ilvl="0" w:tplc="393045A2">
      <w:start w:val="1"/>
      <w:numFmt w:val="decimal"/>
      <w:suff w:val="space"/>
      <w:lvlText w:val="%1)"/>
      <w:lvlJc w:val="left"/>
      <w:pPr>
        <w:ind w:left="0" w:firstLine="567"/>
      </w:pPr>
      <w:rPr>
        <w:rFonts w:hint="default"/>
        <w:b w:val="0"/>
        <w:i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4C67781"/>
    <w:multiLevelType w:val="hybridMultilevel"/>
    <w:tmpl w:val="D236E88C"/>
    <w:lvl w:ilvl="0" w:tplc="04190001">
      <w:start w:val="32"/>
      <w:numFmt w:val="bullet"/>
      <w:pStyle w:val="-"/>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F310AE"/>
    <w:multiLevelType w:val="hybridMultilevel"/>
    <w:tmpl w:val="D11CC632"/>
    <w:lvl w:ilvl="0" w:tplc="F800DCF8">
      <w:start w:val="1"/>
      <w:numFmt w:val="decimal"/>
      <w:suff w:val="space"/>
      <w:lvlText w:val="%1)"/>
      <w:lvlJc w:val="left"/>
      <w:pPr>
        <w:ind w:left="0" w:firstLine="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9360F7"/>
    <w:multiLevelType w:val="hybridMultilevel"/>
    <w:tmpl w:val="0C7C55FC"/>
    <w:lvl w:ilvl="0" w:tplc="DC68261A">
      <w:start w:val="1"/>
      <w:numFmt w:val="decimal"/>
      <w:suff w:val="space"/>
      <w:lvlText w:val="%1)"/>
      <w:lvlJc w:val="left"/>
      <w:pPr>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8E00C2"/>
    <w:multiLevelType w:val="hybridMultilevel"/>
    <w:tmpl w:val="871A56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867EA8"/>
    <w:multiLevelType w:val="multilevel"/>
    <w:tmpl w:val="9A620E92"/>
    <w:lvl w:ilvl="0">
      <w:start w:val="1"/>
      <w:numFmt w:val="decimal"/>
      <w:pStyle w:val="a0"/>
      <w:lvlText w:val="%1."/>
      <w:lvlJc w:val="left"/>
      <w:pPr>
        <w:ind w:left="3905" w:hanging="360"/>
      </w:pPr>
      <w:rPr>
        <w:rFonts w:hint="default"/>
      </w:rPr>
    </w:lvl>
    <w:lvl w:ilvl="1">
      <w:start w:val="1"/>
      <w:numFmt w:val="decimal"/>
      <w:pStyle w:val="11"/>
      <w:lvlText w:val="%1.%2."/>
      <w:lvlJc w:val="left"/>
      <w:pPr>
        <w:ind w:left="432" w:hanging="432"/>
      </w:pPr>
      <w:rPr>
        <w:rFonts w:hint="default"/>
        <w:b w:val="0"/>
      </w:rPr>
    </w:lvl>
    <w:lvl w:ilvl="2">
      <w:start w:val="1"/>
      <w:numFmt w:val="decimal"/>
      <w:suff w:val="space"/>
      <w:lvlText w:val="%1.%2.%3."/>
      <w:lvlJc w:val="left"/>
      <w:pPr>
        <w:ind w:left="4769" w:hanging="504"/>
      </w:pPr>
      <w:rPr>
        <w:rFonts w:hint="default"/>
      </w:rPr>
    </w:lvl>
    <w:lvl w:ilvl="3">
      <w:start w:val="1"/>
      <w:numFmt w:val="decimal"/>
      <w:lvlText w:val="%1.%2.%3.%4."/>
      <w:lvlJc w:val="left"/>
      <w:pPr>
        <w:ind w:left="5273" w:hanging="648"/>
      </w:pPr>
      <w:rPr>
        <w:rFonts w:hint="default"/>
      </w:rPr>
    </w:lvl>
    <w:lvl w:ilvl="4">
      <w:start w:val="1"/>
      <w:numFmt w:val="decimal"/>
      <w:lvlText w:val="%1.%2.%3.%4.%5."/>
      <w:lvlJc w:val="left"/>
      <w:pPr>
        <w:ind w:left="5777" w:hanging="792"/>
      </w:pPr>
      <w:rPr>
        <w:rFonts w:hint="default"/>
      </w:rPr>
    </w:lvl>
    <w:lvl w:ilvl="5">
      <w:start w:val="1"/>
      <w:numFmt w:val="decimal"/>
      <w:lvlText w:val="%1.%2.%3.%4.%5.%6."/>
      <w:lvlJc w:val="left"/>
      <w:pPr>
        <w:ind w:left="6281" w:hanging="936"/>
      </w:pPr>
      <w:rPr>
        <w:rFonts w:hint="default"/>
      </w:rPr>
    </w:lvl>
    <w:lvl w:ilvl="6">
      <w:start w:val="1"/>
      <w:numFmt w:val="decimal"/>
      <w:lvlText w:val="%1.%2.%3.%4.%5.%6.%7."/>
      <w:lvlJc w:val="left"/>
      <w:pPr>
        <w:ind w:left="6785" w:hanging="1080"/>
      </w:pPr>
      <w:rPr>
        <w:rFonts w:hint="default"/>
      </w:rPr>
    </w:lvl>
    <w:lvl w:ilvl="7">
      <w:start w:val="1"/>
      <w:numFmt w:val="decimal"/>
      <w:lvlText w:val="%1.%2.%3.%4.%5.%6.%7.%8."/>
      <w:lvlJc w:val="left"/>
      <w:pPr>
        <w:ind w:left="7289" w:hanging="1224"/>
      </w:pPr>
      <w:rPr>
        <w:rFonts w:hint="default"/>
      </w:rPr>
    </w:lvl>
    <w:lvl w:ilvl="8">
      <w:start w:val="1"/>
      <w:numFmt w:val="decimal"/>
      <w:lvlText w:val="%1.%2.%3.%4.%5.%6.%7.%8.%9."/>
      <w:lvlJc w:val="left"/>
      <w:pPr>
        <w:ind w:left="7865" w:hanging="1440"/>
      </w:pPr>
      <w:rPr>
        <w:rFonts w:hint="default"/>
      </w:rPr>
    </w:lvl>
  </w:abstractNum>
  <w:abstractNum w:abstractNumId="32" w15:restartNumberingAfterBreak="0">
    <w:nsid w:val="681710C7"/>
    <w:multiLevelType w:val="hybridMultilevel"/>
    <w:tmpl w:val="FB4E826A"/>
    <w:lvl w:ilvl="0" w:tplc="D9D08162">
      <w:start w:val="1"/>
      <w:numFmt w:val="decimal"/>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233B9E"/>
    <w:multiLevelType w:val="hybridMultilevel"/>
    <w:tmpl w:val="55BEEB26"/>
    <w:lvl w:ilvl="0" w:tplc="34B6979A">
      <w:start w:val="1"/>
      <w:numFmt w:val="decimal"/>
      <w:lvlText w:val="%1."/>
      <w:lvlJc w:val="left"/>
      <w:pPr>
        <w:ind w:left="3840" w:hanging="360"/>
      </w:pPr>
      <w:rPr>
        <w:rFonts w:hint="default"/>
      </w:rPr>
    </w:lvl>
    <w:lvl w:ilvl="1" w:tplc="04190019" w:tentative="1">
      <w:start w:val="1"/>
      <w:numFmt w:val="lowerLetter"/>
      <w:lvlText w:val="%2."/>
      <w:lvlJc w:val="left"/>
      <w:pPr>
        <w:ind w:left="4560" w:hanging="360"/>
      </w:pPr>
    </w:lvl>
    <w:lvl w:ilvl="2" w:tplc="0419001B" w:tentative="1">
      <w:start w:val="1"/>
      <w:numFmt w:val="lowerRoman"/>
      <w:lvlText w:val="%3."/>
      <w:lvlJc w:val="right"/>
      <w:pPr>
        <w:ind w:left="5280" w:hanging="180"/>
      </w:pPr>
    </w:lvl>
    <w:lvl w:ilvl="3" w:tplc="0419000F" w:tentative="1">
      <w:start w:val="1"/>
      <w:numFmt w:val="decimal"/>
      <w:lvlText w:val="%4."/>
      <w:lvlJc w:val="left"/>
      <w:pPr>
        <w:ind w:left="6000" w:hanging="360"/>
      </w:pPr>
    </w:lvl>
    <w:lvl w:ilvl="4" w:tplc="04190019" w:tentative="1">
      <w:start w:val="1"/>
      <w:numFmt w:val="lowerLetter"/>
      <w:lvlText w:val="%5."/>
      <w:lvlJc w:val="left"/>
      <w:pPr>
        <w:ind w:left="6720" w:hanging="360"/>
      </w:pPr>
    </w:lvl>
    <w:lvl w:ilvl="5" w:tplc="0419001B" w:tentative="1">
      <w:start w:val="1"/>
      <w:numFmt w:val="lowerRoman"/>
      <w:lvlText w:val="%6."/>
      <w:lvlJc w:val="right"/>
      <w:pPr>
        <w:ind w:left="7440" w:hanging="180"/>
      </w:pPr>
    </w:lvl>
    <w:lvl w:ilvl="6" w:tplc="0419000F" w:tentative="1">
      <w:start w:val="1"/>
      <w:numFmt w:val="decimal"/>
      <w:lvlText w:val="%7."/>
      <w:lvlJc w:val="left"/>
      <w:pPr>
        <w:ind w:left="8160" w:hanging="360"/>
      </w:pPr>
    </w:lvl>
    <w:lvl w:ilvl="7" w:tplc="04190019" w:tentative="1">
      <w:start w:val="1"/>
      <w:numFmt w:val="lowerLetter"/>
      <w:lvlText w:val="%8."/>
      <w:lvlJc w:val="left"/>
      <w:pPr>
        <w:ind w:left="8880" w:hanging="360"/>
      </w:pPr>
    </w:lvl>
    <w:lvl w:ilvl="8" w:tplc="0419001B" w:tentative="1">
      <w:start w:val="1"/>
      <w:numFmt w:val="lowerRoman"/>
      <w:lvlText w:val="%9."/>
      <w:lvlJc w:val="right"/>
      <w:pPr>
        <w:ind w:left="9600" w:hanging="180"/>
      </w:pPr>
    </w:lvl>
  </w:abstractNum>
  <w:abstractNum w:abstractNumId="34" w15:restartNumberingAfterBreak="0">
    <w:nsid w:val="6BE61AF0"/>
    <w:multiLevelType w:val="hybridMultilevel"/>
    <w:tmpl w:val="550E87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F8B6F2B"/>
    <w:multiLevelType w:val="hybridMultilevel"/>
    <w:tmpl w:val="1FE63F0C"/>
    <w:lvl w:ilvl="0" w:tplc="FB569640">
      <w:start w:val="1"/>
      <w:numFmt w:val="bullet"/>
      <w:lvlText w:val=""/>
      <w:lvlJc w:val="left"/>
      <w:pPr>
        <w:tabs>
          <w:tab w:val="num" w:pos="1134"/>
        </w:tabs>
        <w:ind w:left="567" w:firstLine="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E553B7"/>
    <w:multiLevelType w:val="multilevel"/>
    <w:tmpl w:val="C4DA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851625"/>
    <w:multiLevelType w:val="hybridMultilevel"/>
    <w:tmpl w:val="0852AB32"/>
    <w:lvl w:ilvl="0" w:tplc="15D610A0">
      <w:start w:val="1"/>
      <w:numFmt w:val="decimal"/>
      <w:suff w:val="space"/>
      <w:lvlText w:val="%1)"/>
      <w:lvlJc w:val="left"/>
      <w:pPr>
        <w:ind w:left="0" w:firstLine="567"/>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8" w15:restartNumberingAfterBreak="0">
    <w:nsid w:val="73FC5028"/>
    <w:multiLevelType w:val="multilevel"/>
    <w:tmpl w:val="B7C8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891E64"/>
    <w:multiLevelType w:val="multilevel"/>
    <w:tmpl w:val="4704C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2B01A8"/>
    <w:multiLevelType w:val="hybridMultilevel"/>
    <w:tmpl w:val="ECE24824"/>
    <w:lvl w:ilvl="0" w:tplc="2052391A">
      <w:start w:val="1"/>
      <w:numFmt w:val="bullet"/>
      <w:suff w:val="space"/>
      <w:lvlText w:val=""/>
      <w:lvlJc w:val="left"/>
      <w:pPr>
        <w:ind w:left="0" w:firstLine="567"/>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41" w15:restartNumberingAfterBreak="0">
    <w:nsid w:val="7B3A3C10"/>
    <w:multiLevelType w:val="hybridMultilevel"/>
    <w:tmpl w:val="15F2321E"/>
    <w:lvl w:ilvl="0" w:tplc="19ECEE92">
      <w:start w:val="1"/>
      <w:numFmt w:val="decimal"/>
      <w:suff w:val="space"/>
      <w:lvlText w:val="%1)"/>
      <w:lvlJc w:val="left"/>
      <w:pPr>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153676"/>
    <w:multiLevelType w:val="multilevel"/>
    <w:tmpl w:val="9B941FF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9"/>
  </w:num>
  <w:num w:numId="2">
    <w:abstractNumId w:val="31"/>
  </w:num>
  <w:num w:numId="3">
    <w:abstractNumId w:val="27"/>
  </w:num>
  <w:num w:numId="4">
    <w:abstractNumId w:val="19"/>
  </w:num>
  <w:num w:numId="5">
    <w:abstractNumId w:val="10"/>
  </w:num>
  <w:num w:numId="6">
    <w:abstractNumId w:val="42"/>
  </w:num>
  <w:num w:numId="7">
    <w:abstractNumId w:val="20"/>
  </w:num>
  <w:num w:numId="8">
    <w:abstractNumId w:val="39"/>
  </w:num>
  <w:num w:numId="9">
    <w:abstractNumId w:val="11"/>
  </w:num>
  <w:num w:numId="10">
    <w:abstractNumId w:val="16"/>
  </w:num>
  <w:num w:numId="11">
    <w:abstractNumId w:val="38"/>
  </w:num>
  <w:num w:numId="12">
    <w:abstractNumId w:val="24"/>
  </w:num>
  <w:num w:numId="13">
    <w:abstractNumId w:val="6"/>
  </w:num>
  <w:num w:numId="14">
    <w:abstractNumId w:val="4"/>
  </w:num>
  <w:num w:numId="15">
    <w:abstractNumId w:val="14"/>
  </w:num>
  <w:num w:numId="16">
    <w:abstractNumId w:val="23"/>
  </w:num>
  <w:num w:numId="17">
    <w:abstractNumId w:val="1"/>
  </w:num>
  <w:num w:numId="18">
    <w:abstractNumId w:val="13"/>
  </w:num>
  <w:num w:numId="19">
    <w:abstractNumId w:val="33"/>
  </w:num>
  <w:num w:numId="20">
    <w:abstractNumId w:val="1"/>
  </w:num>
  <w:num w:numId="21">
    <w:abstractNumId w:val="35"/>
  </w:num>
  <w:num w:numId="22">
    <w:abstractNumId w:val="32"/>
  </w:num>
  <w:num w:numId="23">
    <w:abstractNumId w:val="0"/>
  </w:num>
  <w:num w:numId="24">
    <w:abstractNumId w:val="5"/>
  </w:num>
  <w:num w:numId="25">
    <w:abstractNumId w:val="37"/>
  </w:num>
  <w:num w:numId="26">
    <w:abstractNumId w:val="25"/>
  </w:num>
  <w:num w:numId="27">
    <w:abstractNumId w:val="30"/>
  </w:num>
  <w:num w:numId="28">
    <w:abstractNumId w:val="15"/>
  </w:num>
  <w:num w:numId="29">
    <w:abstractNumId w:val="21"/>
  </w:num>
  <w:num w:numId="30">
    <w:abstractNumId w:val="26"/>
  </w:num>
  <w:num w:numId="31">
    <w:abstractNumId w:val="28"/>
  </w:num>
  <w:num w:numId="32">
    <w:abstractNumId w:val="29"/>
  </w:num>
  <w:num w:numId="33">
    <w:abstractNumId w:val="7"/>
  </w:num>
  <w:num w:numId="34">
    <w:abstractNumId w:val="3"/>
  </w:num>
  <w:num w:numId="35">
    <w:abstractNumId w:val="40"/>
  </w:num>
  <w:num w:numId="36">
    <w:abstractNumId w:val="8"/>
  </w:num>
  <w:num w:numId="37">
    <w:abstractNumId w:val="41"/>
  </w:num>
  <w:num w:numId="38">
    <w:abstractNumId w:val="12"/>
  </w:num>
  <w:num w:numId="39">
    <w:abstractNumId w:val="17"/>
  </w:num>
  <w:num w:numId="40">
    <w:abstractNumId w:val="34"/>
  </w:num>
  <w:num w:numId="41">
    <w:abstractNumId w:val="36"/>
  </w:num>
  <w:num w:numId="42">
    <w:abstractNumId w:val="22"/>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360"/>
    <w:rsid w:val="00000F80"/>
    <w:rsid w:val="00002E78"/>
    <w:rsid w:val="00003611"/>
    <w:rsid w:val="000118F2"/>
    <w:rsid w:val="00013AC0"/>
    <w:rsid w:val="000140A4"/>
    <w:rsid w:val="00014A73"/>
    <w:rsid w:val="00015EB8"/>
    <w:rsid w:val="0001615C"/>
    <w:rsid w:val="00016A19"/>
    <w:rsid w:val="00016D78"/>
    <w:rsid w:val="00020423"/>
    <w:rsid w:val="00021404"/>
    <w:rsid w:val="00021510"/>
    <w:rsid w:val="00021D6D"/>
    <w:rsid w:val="0002290F"/>
    <w:rsid w:val="00023F7A"/>
    <w:rsid w:val="000256FD"/>
    <w:rsid w:val="00025856"/>
    <w:rsid w:val="00025DBC"/>
    <w:rsid w:val="00026232"/>
    <w:rsid w:val="00027272"/>
    <w:rsid w:val="00027BEB"/>
    <w:rsid w:val="0003077A"/>
    <w:rsid w:val="00030CBF"/>
    <w:rsid w:val="0003166C"/>
    <w:rsid w:val="00032204"/>
    <w:rsid w:val="000336F6"/>
    <w:rsid w:val="0003487A"/>
    <w:rsid w:val="000364DB"/>
    <w:rsid w:val="000364F5"/>
    <w:rsid w:val="000369A5"/>
    <w:rsid w:val="00036EB9"/>
    <w:rsid w:val="00037886"/>
    <w:rsid w:val="00040B8D"/>
    <w:rsid w:val="000414A0"/>
    <w:rsid w:val="00041559"/>
    <w:rsid w:val="00043676"/>
    <w:rsid w:val="000453FD"/>
    <w:rsid w:val="0004774D"/>
    <w:rsid w:val="0005058C"/>
    <w:rsid w:val="000505AC"/>
    <w:rsid w:val="0005518B"/>
    <w:rsid w:val="00056C60"/>
    <w:rsid w:val="000572FB"/>
    <w:rsid w:val="00060A83"/>
    <w:rsid w:val="00064B15"/>
    <w:rsid w:val="00065837"/>
    <w:rsid w:val="0006792C"/>
    <w:rsid w:val="0007201B"/>
    <w:rsid w:val="00072546"/>
    <w:rsid w:val="000743E4"/>
    <w:rsid w:val="00074906"/>
    <w:rsid w:val="00075BE4"/>
    <w:rsid w:val="00075E4F"/>
    <w:rsid w:val="00076064"/>
    <w:rsid w:val="000779F6"/>
    <w:rsid w:val="000807DF"/>
    <w:rsid w:val="0008209F"/>
    <w:rsid w:val="00082BC5"/>
    <w:rsid w:val="0008316D"/>
    <w:rsid w:val="0008440B"/>
    <w:rsid w:val="00086DC6"/>
    <w:rsid w:val="000911B3"/>
    <w:rsid w:val="00091E06"/>
    <w:rsid w:val="00091E3A"/>
    <w:rsid w:val="000922BF"/>
    <w:rsid w:val="0009325C"/>
    <w:rsid w:val="00095D09"/>
    <w:rsid w:val="0009738C"/>
    <w:rsid w:val="000977D9"/>
    <w:rsid w:val="000A103C"/>
    <w:rsid w:val="000A354D"/>
    <w:rsid w:val="000A69F1"/>
    <w:rsid w:val="000A7F76"/>
    <w:rsid w:val="000B0599"/>
    <w:rsid w:val="000B0D4B"/>
    <w:rsid w:val="000B4812"/>
    <w:rsid w:val="000B5B90"/>
    <w:rsid w:val="000B7B0A"/>
    <w:rsid w:val="000C0322"/>
    <w:rsid w:val="000C0C94"/>
    <w:rsid w:val="000C1395"/>
    <w:rsid w:val="000C2672"/>
    <w:rsid w:val="000C31BC"/>
    <w:rsid w:val="000C3EC0"/>
    <w:rsid w:val="000C406C"/>
    <w:rsid w:val="000C5D28"/>
    <w:rsid w:val="000D1E45"/>
    <w:rsid w:val="000D2301"/>
    <w:rsid w:val="000D5564"/>
    <w:rsid w:val="000D74D5"/>
    <w:rsid w:val="000E0356"/>
    <w:rsid w:val="000E0AFD"/>
    <w:rsid w:val="000E173E"/>
    <w:rsid w:val="000E25C6"/>
    <w:rsid w:val="000E267A"/>
    <w:rsid w:val="000E291B"/>
    <w:rsid w:val="000E29B2"/>
    <w:rsid w:val="000E4589"/>
    <w:rsid w:val="000F05D5"/>
    <w:rsid w:val="000F19AF"/>
    <w:rsid w:val="000F261B"/>
    <w:rsid w:val="000F412D"/>
    <w:rsid w:val="000F48B0"/>
    <w:rsid w:val="000F73CB"/>
    <w:rsid w:val="000F7968"/>
    <w:rsid w:val="0010018C"/>
    <w:rsid w:val="00101529"/>
    <w:rsid w:val="00102A43"/>
    <w:rsid w:val="00103854"/>
    <w:rsid w:val="001055D8"/>
    <w:rsid w:val="001058FD"/>
    <w:rsid w:val="0011092E"/>
    <w:rsid w:val="001113C3"/>
    <w:rsid w:val="00111C1D"/>
    <w:rsid w:val="001127C8"/>
    <w:rsid w:val="0011378D"/>
    <w:rsid w:val="00114CC2"/>
    <w:rsid w:val="00115E4A"/>
    <w:rsid w:val="00117BB0"/>
    <w:rsid w:val="00117EBC"/>
    <w:rsid w:val="00121F2C"/>
    <w:rsid w:val="001223F6"/>
    <w:rsid w:val="001239E0"/>
    <w:rsid w:val="00123B76"/>
    <w:rsid w:val="00126683"/>
    <w:rsid w:val="0012759A"/>
    <w:rsid w:val="00127A09"/>
    <w:rsid w:val="00130A3E"/>
    <w:rsid w:val="00132F93"/>
    <w:rsid w:val="001344E9"/>
    <w:rsid w:val="00135122"/>
    <w:rsid w:val="0013516C"/>
    <w:rsid w:val="00137F80"/>
    <w:rsid w:val="0014085D"/>
    <w:rsid w:val="0014159C"/>
    <w:rsid w:val="00141FD6"/>
    <w:rsid w:val="00143DF2"/>
    <w:rsid w:val="00146447"/>
    <w:rsid w:val="00147F49"/>
    <w:rsid w:val="0015124E"/>
    <w:rsid w:val="00151490"/>
    <w:rsid w:val="001514C9"/>
    <w:rsid w:val="00151D68"/>
    <w:rsid w:val="00153D0F"/>
    <w:rsid w:val="00154DE2"/>
    <w:rsid w:val="0016158A"/>
    <w:rsid w:val="001661E0"/>
    <w:rsid w:val="001664C2"/>
    <w:rsid w:val="00167763"/>
    <w:rsid w:val="00171C5F"/>
    <w:rsid w:val="00173AC9"/>
    <w:rsid w:val="00175698"/>
    <w:rsid w:val="00175971"/>
    <w:rsid w:val="00175A88"/>
    <w:rsid w:val="00175BCC"/>
    <w:rsid w:val="001765DF"/>
    <w:rsid w:val="00177CB2"/>
    <w:rsid w:val="001800FE"/>
    <w:rsid w:val="00181262"/>
    <w:rsid w:val="00183738"/>
    <w:rsid w:val="001937DC"/>
    <w:rsid w:val="001A027C"/>
    <w:rsid w:val="001A1045"/>
    <w:rsid w:val="001A5EE8"/>
    <w:rsid w:val="001A64B6"/>
    <w:rsid w:val="001A685B"/>
    <w:rsid w:val="001A6AE5"/>
    <w:rsid w:val="001A724A"/>
    <w:rsid w:val="001A7EDC"/>
    <w:rsid w:val="001B160A"/>
    <w:rsid w:val="001B16AB"/>
    <w:rsid w:val="001B2850"/>
    <w:rsid w:val="001B4292"/>
    <w:rsid w:val="001B5ADC"/>
    <w:rsid w:val="001B6D33"/>
    <w:rsid w:val="001B741A"/>
    <w:rsid w:val="001B7B35"/>
    <w:rsid w:val="001C07DF"/>
    <w:rsid w:val="001C5499"/>
    <w:rsid w:val="001C5D43"/>
    <w:rsid w:val="001C5EB0"/>
    <w:rsid w:val="001C67AA"/>
    <w:rsid w:val="001D03DC"/>
    <w:rsid w:val="001D18E8"/>
    <w:rsid w:val="001D1C22"/>
    <w:rsid w:val="001D2F37"/>
    <w:rsid w:val="001D3623"/>
    <w:rsid w:val="001D45EF"/>
    <w:rsid w:val="001D6CDF"/>
    <w:rsid w:val="001D6E17"/>
    <w:rsid w:val="001E28DA"/>
    <w:rsid w:val="001E32B4"/>
    <w:rsid w:val="001E3784"/>
    <w:rsid w:val="001E417F"/>
    <w:rsid w:val="001E4360"/>
    <w:rsid w:val="001E6061"/>
    <w:rsid w:val="001E64A4"/>
    <w:rsid w:val="001F026F"/>
    <w:rsid w:val="001F12C1"/>
    <w:rsid w:val="001F2904"/>
    <w:rsid w:val="001F296B"/>
    <w:rsid w:val="001F5323"/>
    <w:rsid w:val="001F6471"/>
    <w:rsid w:val="001F672E"/>
    <w:rsid w:val="00201837"/>
    <w:rsid w:val="00202078"/>
    <w:rsid w:val="00202FB1"/>
    <w:rsid w:val="00203296"/>
    <w:rsid w:val="00203522"/>
    <w:rsid w:val="002043AA"/>
    <w:rsid w:val="00205771"/>
    <w:rsid w:val="00205A0A"/>
    <w:rsid w:val="0020738F"/>
    <w:rsid w:val="00211C56"/>
    <w:rsid w:val="002124F5"/>
    <w:rsid w:val="002129AC"/>
    <w:rsid w:val="00212BCA"/>
    <w:rsid w:val="00213366"/>
    <w:rsid w:val="00213A64"/>
    <w:rsid w:val="002153A4"/>
    <w:rsid w:val="00215E4B"/>
    <w:rsid w:val="00223485"/>
    <w:rsid w:val="002261C7"/>
    <w:rsid w:val="00227A9E"/>
    <w:rsid w:val="00230841"/>
    <w:rsid w:val="0023290F"/>
    <w:rsid w:val="00234531"/>
    <w:rsid w:val="002347D7"/>
    <w:rsid w:val="00234C92"/>
    <w:rsid w:val="0023628B"/>
    <w:rsid w:val="002376BB"/>
    <w:rsid w:val="00243C0D"/>
    <w:rsid w:val="00244529"/>
    <w:rsid w:val="00244633"/>
    <w:rsid w:val="00244E2B"/>
    <w:rsid w:val="00245A52"/>
    <w:rsid w:val="002460A9"/>
    <w:rsid w:val="0024662D"/>
    <w:rsid w:val="00247EBD"/>
    <w:rsid w:val="0025128F"/>
    <w:rsid w:val="00251317"/>
    <w:rsid w:val="002519B2"/>
    <w:rsid w:val="002526CB"/>
    <w:rsid w:val="00252DDF"/>
    <w:rsid w:val="0026249C"/>
    <w:rsid w:val="00263050"/>
    <w:rsid w:val="00264A9A"/>
    <w:rsid w:val="00266A1B"/>
    <w:rsid w:val="00271C80"/>
    <w:rsid w:val="002767A5"/>
    <w:rsid w:val="002847FA"/>
    <w:rsid w:val="002879C6"/>
    <w:rsid w:val="0029092D"/>
    <w:rsid w:val="002909E4"/>
    <w:rsid w:val="002913FC"/>
    <w:rsid w:val="00291C63"/>
    <w:rsid w:val="00292068"/>
    <w:rsid w:val="0029301C"/>
    <w:rsid w:val="00293239"/>
    <w:rsid w:val="00293A7C"/>
    <w:rsid w:val="0029487E"/>
    <w:rsid w:val="0029500A"/>
    <w:rsid w:val="0029502A"/>
    <w:rsid w:val="002968B4"/>
    <w:rsid w:val="002A0310"/>
    <w:rsid w:val="002A0C6B"/>
    <w:rsid w:val="002A284E"/>
    <w:rsid w:val="002A35FC"/>
    <w:rsid w:val="002A44AC"/>
    <w:rsid w:val="002A4785"/>
    <w:rsid w:val="002A5551"/>
    <w:rsid w:val="002A5A0B"/>
    <w:rsid w:val="002A7019"/>
    <w:rsid w:val="002A731E"/>
    <w:rsid w:val="002B0D5B"/>
    <w:rsid w:val="002B316A"/>
    <w:rsid w:val="002B3239"/>
    <w:rsid w:val="002B33D7"/>
    <w:rsid w:val="002B3AD6"/>
    <w:rsid w:val="002B5B60"/>
    <w:rsid w:val="002B5F4B"/>
    <w:rsid w:val="002C245C"/>
    <w:rsid w:val="002C466B"/>
    <w:rsid w:val="002C527C"/>
    <w:rsid w:val="002C5F5A"/>
    <w:rsid w:val="002C6B7E"/>
    <w:rsid w:val="002C7311"/>
    <w:rsid w:val="002D057B"/>
    <w:rsid w:val="002D2F11"/>
    <w:rsid w:val="002D3925"/>
    <w:rsid w:val="002D4B3A"/>
    <w:rsid w:val="002D4D29"/>
    <w:rsid w:val="002D53A3"/>
    <w:rsid w:val="002D55D9"/>
    <w:rsid w:val="002D7ED2"/>
    <w:rsid w:val="002E17D7"/>
    <w:rsid w:val="002E1D45"/>
    <w:rsid w:val="002E2B73"/>
    <w:rsid w:val="002E5A42"/>
    <w:rsid w:val="002F0B4E"/>
    <w:rsid w:val="002F12BD"/>
    <w:rsid w:val="002F14D6"/>
    <w:rsid w:val="002F7058"/>
    <w:rsid w:val="00300B79"/>
    <w:rsid w:val="0030254E"/>
    <w:rsid w:val="0030491A"/>
    <w:rsid w:val="00307F7B"/>
    <w:rsid w:val="0031093E"/>
    <w:rsid w:val="0031104F"/>
    <w:rsid w:val="00311676"/>
    <w:rsid w:val="00311F16"/>
    <w:rsid w:val="00312335"/>
    <w:rsid w:val="00316116"/>
    <w:rsid w:val="00316806"/>
    <w:rsid w:val="00316B7F"/>
    <w:rsid w:val="003208EE"/>
    <w:rsid w:val="003222BA"/>
    <w:rsid w:val="00323802"/>
    <w:rsid w:val="00325004"/>
    <w:rsid w:val="00325899"/>
    <w:rsid w:val="0033165E"/>
    <w:rsid w:val="00331D4E"/>
    <w:rsid w:val="0033342E"/>
    <w:rsid w:val="00336267"/>
    <w:rsid w:val="00337053"/>
    <w:rsid w:val="003400EE"/>
    <w:rsid w:val="00340BE1"/>
    <w:rsid w:val="00340CF7"/>
    <w:rsid w:val="003416D2"/>
    <w:rsid w:val="003418CE"/>
    <w:rsid w:val="00342693"/>
    <w:rsid w:val="00345100"/>
    <w:rsid w:val="0034782C"/>
    <w:rsid w:val="003506CC"/>
    <w:rsid w:val="003510D2"/>
    <w:rsid w:val="00351B3E"/>
    <w:rsid w:val="00351EF5"/>
    <w:rsid w:val="00353072"/>
    <w:rsid w:val="00356565"/>
    <w:rsid w:val="00356D35"/>
    <w:rsid w:val="003570EE"/>
    <w:rsid w:val="003608EB"/>
    <w:rsid w:val="003643AF"/>
    <w:rsid w:val="003651E1"/>
    <w:rsid w:val="003653FD"/>
    <w:rsid w:val="003659A9"/>
    <w:rsid w:val="00365A8F"/>
    <w:rsid w:val="0037011E"/>
    <w:rsid w:val="00370599"/>
    <w:rsid w:val="003724FD"/>
    <w:rsid w:val="003726BB"/>
    <w:rsid w:val="00373862"/>
    <w:rsid w:val="00375FFA"/>
    <w:rsid w:val="003842ED"/>
    <w:rsid w:val="00385D13"/>
    <w:rsid w:val="00386107"/>
    <w:rsid w:val="003865D4"/>
    <w:rsid w:val="003866D4"/>
    <w:rsid w:val="00387060"/>
    <w:rsid w:val="00387643"/>
    <w:rsid w:val="00390993"/>
    <w:rsid w:val="00390E12"/>
    <w:rsid w:val="00392377"/>
    <w:rsid w:val="00392620"/>
    <w:rsid w:val="00393E97"/>
    <w:rsid w:val="0039449E"/>
    <w:rsid w:val="003959F0"/>
    <w:rsid w:val="00395A0D"/>
    <w:rsid w:val="003A03AF"/>
    <w:rsid w:val="003A116E"/>
    <w:rsid w:val="003A2561"/>
    <w:rsid w:val="003A2842"/>
    <w:rsid w:val="003A2D62"/>
    <w:rsid w:val="003A7C20"/>
    <w:rsid w:val="003B0FCB"/>
    <w:rsid w:val="003B271E"/>
    <w:rsid w:val="003B4536"/>
    <w:rsid w:val="003B56F1"/>
    <w:rsid w:val="003B7525"/>
    <w:rsid w:val="003B7AE5"/>
    <w:rsid w:val="003C1B61"/>
    <w:rsid w:val="003C21E2"/>
    <w:rsid w:val="003C44DD"/>
    <w:rsid w:val="003C54D8"/>
    <w:rsid w:val="003C5B06"/>
    <w:rsid w:val="003D2174"/>
    <w:rsid w:val="003D2CBA"/>
    <w:rsid w:val="003D3EB8"/>
    <w:rsid w:val="003D4355"/>
    <w:rsid w:val="003D56CF"/>
    <w:rsid w:val="003D6820"/>
    <w:rsid w:val="003D7C3F"/>
    <w:rsid w:val="003E206F"/>
    <w:rsid w:val="003E2CDB"/>
    <w:rsid w:val="003E3904"/>
    <w:rsid w:val="003E42E4"/>
    <w:rsid w:val="003E557C"/>
    <w:rsid w:val="003E6256"/>
    <w:rsid w:val="003E6968"/>
    <w:rsid w:val="003E7051"/>
    <w:rsid w:val="003F073C"/>
    <w:rsid w:val="003F208D"/>
    <w:rsid w:val="003F32C1"/>
    <w:rsid w:val="003F359B"/>
    <w:rsid w:val="003F3811"/>
    <w:rsid w:val="003F4F21"/>
    <w:rsid w:val="00400435"/>
    <w:rsid w:val="00401E56"/>
    <w:rsid w:val="00403C18"/>
    <w:rsid w:val="00404D70"/>
    <w:rsid w:val="00404FB0"/>
    <w:rsid w:val="00405C67"/>
    <w:rsid w:val="0041038C"/>
    <w:rsid w:val="00410BF1"/>
    <w:rsid w:val="00416A52"/>
    <w:rsid w:val="004213BF"/>
    <w:rsid w:val="00422127"/>
    <w:rsid w:val="0042221A"/>
    <w:rsid w:val="0042222D"/>
    <w:rsid w:val="00423DB9"/>
    <w:rsid w:val="00424209"/>
    <w:rsid w:val="00425D66"/>
    <w:rsid w:val="004278E6"/>
    <w:rsid w:val="0043270C"/>
    <w:rsid w:val="00433644"/>
    <w:rsid w:val="00436245"/>
    <w:rsid w:val="004411E0"/>
    <w:rsid w:val="004412F4"/>
    <w:rsid w:val="004413EB"/>
    <w:rsid w:val="00441E88"/>
    <w:rsid w:val="004434CF"/>
    <w:rsid w:val="00444998"/>
    <w:rsid w:val="00444A09"/>
    <w:rsid w:val="00444C8E"/>
    <w:rsid w:val="00446453"/>
    <w:rsid w:val="00450E2A"/>
    <w:rsid w:val="00451315"/>
    <w:rsid w:val="004564DE"/>
    <w:rsid w:val="0046119D"/>
    <w:rsid w:val="004612F7"/>
    <w:rsid w:val="00463FE7"/>
    <w:rsid w:val="004655E2"/>
    <w:rsid w:val="00473E31"/>
    <w:rsid w:val="004775F5"/>
    <w:rsid w:val="00480458"/>
    <w:rsid w:val="00483EE0"/>
    <w:rsid w:val="004852B1"/>
    <w:rsid w:val="00486CE4"/>
    <w:rsid w:val="004936AD"/>
    <w:rsid w:val="00493EBB"/>
    <w:rsid w:val="0049476A"/>
    <w:rsid w:val="00494D2C"/>
    <w:rsid w:val="00495158"/>
    <w:rsid w:val="004A07C7"/>
    <w:rsid w:val="004A083E"/>
    <w:rsid w:val="004A2437"/>
    <w:rsid w:val="004A56DE"/>
    <w:rsid w:val="004B0DAF"/>
    <w:rsid w:val="004B11C2"/>
    <w:rsid w:val="004B160E"/>
    <w:rsid w:val="004B2B2B"/>
    <w:rsid w:val="004B2EDE"/>
    <w:rsid w:val="004B3ECD"/>
    <w:rsid w:val="004B424B"/>
    <w:rsid w:val="004B4573"/>
    <w:rsid w:val="004B4F06"/>
    <w:rsid w:val="004B5C77"/>
    <w:rsid w:val="004B6246"/>
    <w:rsid w:val="004B79A9"/>
    <w:rsid w:val="004C149C"/>
    <w:rsid w:val="004C2325"/>
    <w:rsid w:val="004C3657"/>
    <w:rsid w:val="004C6321"/>
    <w:rsid w:val="004C63B7"/>
    <w:rsid w:val="004C63EA"/>
    <w:rsid w:val="004C6608"/>
    <w:rsid w:val="004D0F16"/>
    <w:rsid w:val="004D20FF"/>
    <w:rsid w:val="004D24AB"/>
    <w:rsid w:val="004D460C"/>
    <w:rsid w:val="004D4FA8"/>
    <w:rsid w:val="004D5DF2"/>
    <w:rsid w:val="004D62D8"/>
    <w:rsid w:val="004D6579"/>
    <w:rsid w:val="004D6D2F"/>
    <w:rsid w:val="004D7918"/>
    <w:rsid w:val="004E02A8"/>
    <w:rsid w:val="004E1582"/>
    <w:rsid w:val="004E2B0E"/>
    <w:rsid w:val="004E2EDC"/>
    <w:rsid w:val="004E3E16"/>
    <w:rsid w:val="004E41AF"/>
    <w:rsid w:val="004E4CE2"/>
    <w:rsid w:val="004E6782"/>
    <w:rsid w:val="004E6CD9"/>
    <w:rsid w:val="004F14EB"/>
    <w:rsid w:val="004F1C78"/>
    <w:rsid w:val="004F42ED"/>
    <w:rsid w:val="004F5ED8"/>
    <w:rsid w:val="004F62DE"/>
    <w:rsid w:val="004F7CB4"/>
    <w:rsid w:val="00501799"/>
    <w:rsid w:val="00501866"/>
    <w:rsid w:val="00503080"/>
    <w:rsid w:val="005034DA"/>
    <w:rsid w:val="00504184"/>
    <w:rsid w:val="00504D7D"/>
    <w:rsid w:val="005056A5"/>
    <w:rsid w:val="00505FA8"/>
    <w:rsid w:val="0051205D"/>
    <w:rsid w:val="00512767"/>
    <w:rsid w:val="00514F9C"/>
    <w:rsid w:val="00523AD9"/>
    <w:rsid w:val="005252C1"/>
    <w:rsid w:val="00527E45"/>
    <w:rsid w:val="005303D6"/>
    <w:rsid w:val="005315A0"/>
    <w:rsid w:val="00533A75"/>
    <w:rsid w:val="00534ADD"/>
    <w:rsid w:val="00535A78"/>
    <w:rsid w:val="00537D0E"/>
    <w:rsid w:val="005406F6"/>
    <w:rsid w:val="00540B48"/>
    <w:rsid w:val="00541036"/>
    <w:rsid w:val="005413C3"/>
    <w:rsid w:val="00544039"/>
    <w:rsid w:val="00544AEF"/>
    <w:rsid w:val="00550BB0"/>
    <w:rsid w:val="00550EDC"/>
    <w:rsid w:val="00552242"/>
    <w:rsid w:val="005528EA"/>
    <w:rsid w:val="00554608"/>
    <w:rsid w:val="00556373"/>
    <w:rsid w:val="00557701"/>
    <w:rsid w:val="00561D82"/>
    <w:rsid w:val="00561E05"/>
    <w:rsid w:val="005631A5"/>
    <w:rsid w:val="005634BA"/>
    <w:rsid w:val="00564D74"/>
    <w:rsid w:val="00566460"/>
    <w:rsid w:val="005671FB"/>
    <w:rsid w:val="00571ABA"/>
    <w:rsid w:val="00572AE4"/>
    <w:rsid w:val="00573214"/>
    <w:rsid w:val="00573276"/>
    <w:rsid w:val="005740C7"/>
    <w:rsid w:val="00574254"/>
    <w:rsid w:val="005752EA"/>
    <w:rsid w:val="00575AD8"/>
    <w:rsid w:val="00580442"/>
    <w:rsid w:val="00580B36"/>
    <w:rsid w:val="00581721"/>
    <w:rsid w:val="005851B2"/>
    <w:rsid w:val="00585C65"/>
    <w:rsid w:val="00587559"/>
    <w:rsid w:val="00587F04"/>
    <w:rsid w:val="005902A2"/>
    <w:rsid w:val="005965CB"/>
    <w:rsid w:val="005A0A57"/>
    <w:rsid w:val="005A1753"/>
    <w:rsid w:val="005A3B3E"/>
    <w:rsid w:val="005A4409"/>
    <w:rsid w:val="005A5C00"/>
    <w:rsid w:val="005A6178"/>
    <w:rsid w:val="005A6202"/>
    <w:rsid w:val="005A6651"/>
    <w:rsid w:val="005A668F"/>
    <w:rsid w:val="005A7522"/>
    <w:rsid w:val="005A7606"/>
    <w:rsid w:val="005B00EC"/>
    <w:rsid w:val="005B0CF7"/>
    <w:rsid w:val="005B1709"/>
    <w:rsid w:val="005B2588"/>
    <w:rsid w:val="005B2B56"/>
    <w:rsid w:val="005B2DAF"/>
    <w:rsid w:val="005B335C"/>
    <w:rsid w:val="005B3BF0"/>
    <w:rsid w:val="005B5892"/>
    <w:rsid w:val="005B68F2"/>
    <w:rsid w:val="005B79AE"/>
    <w:rsid w:val="005C2347"/>
    <w:rsid w:val="005C2520"/>
    <w:rsid w:val="005C352E"/>
    <w:rsid w:val="005C3559"/>
    <w:rsid w:val="005C371E"/>
    <w:rsid w:val="005C37E6"/>
    <w:rsid w:val="005C4C24"/>
    <w:rsid w:val="005C75C7"/>
    <w:rsid w:val="005D01AB"/>
    <w:rsid w:val="005D3120"/>
    <w:rsid w:val="005D3C9B"/>
    <w:rsid w:val="005D501D"/>
    <w:rsid w:val="005D773C"/>
    <w:rsid w:val="005D7768"/>
    <w:rsid w:val="005D7C7B"/>
    <w:rsid w:val="005E0979"/>
    <w:rsid w:val="005E174E"/>
    <w:rsid w:val="005E1DFC"/>
    <w:rsid w:val="005E2A4E"/>
    <w:rsid w:val="005E41AF"/>
    <w:rsid w:val="005E4935"/>
    <w:rsid w:val="005F02EF"/>
    <w:rsid w:val="005F1A5F"/>
    <w:rsid w:val="005F1C9D"/>
    <w:rsid w:val="005F237E"/>
    <w:rsid w:val="005F554D"/>
    <w:rsid w:val="005F7182"/>
    <w:rsid w:val="006025E8"/>
    <w:rsid w:val="00603DEE"/>
    <w:rsid w:val="00604B16"/>
    <w:rsid w:val="00606E13"/>
    <w:rsid w:val="00611538"/>
    <w:rsid w:val="006119F9"/>
    <w:rsid w:val="00612767"/>
    <w:rsid w:val="006137D5"/>
    <w:rsid w:val="006157A9"/>
    <w:rsid w:val="006157C7"/>
    <w:rsid w:val="00615CAB"/>
    <w:rsid w:val="00617604"/>
    <w:rsid w:val="00621178"/>
    <w:rsid w:val="00621658"/>
    <w:rsid w:val="00621C6E"/>
    <w:rsid w:val="006234CF"/>
    <w:rsid w:val="00623D77"/>
    <w:rsid w:val="00627B86"/>
    <w:rsid w:val="00632932"/>
    <w:rsid w:val="0063394A"/>
    <w:rsid w:val="00635DB7"/>
    <w:rsid w:val="00635FDF"/>
    <w:rsid w:val="00640128"/>
    <w:rsid w:val="00640174"/>
    <w:rsid w:val="006408B7"/>
    <w:rsid w:val="006409AD"/>
    <w:rsid w:val="00640DDB"/>
    <w:rsid w:val="00641BAA"/>
    <w:rsid w:val="00642E63"/>
    <w:rsid w:val="00646715"/>
    <w:rsid w:val="00651C3B"/>
    <w:rsid w:val="00654A0C"/>
    <w:rsid w:val="00654C6A"/>
    <w:rsid w:val="006551A1"/>
    <w:rsid w:val="00660937"/>
    <w:rsid w:val="00660FD0"/>
    <w:rsid w:val="006613C0"/>
    <w:rsid w:val="00661898"/>
    <w:rsid w:val="00663298"/>
    <w:rsid w:val="00664B99"/>
    <w:rsid w:val="00665AC6"/>
    <w:rsid w:val="0067009E"/>
    <w:rsid w:val="006703E7"/>
    <w:rsid w:val="006711AD"/>
    <w:rsid w:val="00671EE3"/>
    <w:rsid w:val="006721BE"/>
    <w:rsid w:val="006724A3"/>
    <w:rsid w:val="00673EF6"/>
    <w:rsid w:val="0067521A"/>
    <w:rsid w:val="00680327"/>
    <w:rsid w:val="00683A3A"/>
    <w:rsid w:val="006854D5"/>
    <w:rsid w:val="006874D9"/>
    <w:rsid w:val="00687952"/>
    <w:rsid w:val="00690EE0"/>
    <w:rsid w:val="006917C0"/>
    <w:rsid w:val="00691920"/>
    <w:rsid w:val="0069611F"/>
    <w:rsid w:val="0069616E"/>
    <w:rsid w:val="006A210A"/>
    <w:rsid w:val="006A2B1B"/>
    <w:rsid w:val="006A6F9E"/>
    <w:rsid w:val="006A77B8"/>
    <w:rsid w:val="006B001A"/>
    <w:rsid w:val="006B17DF"/>
    <w:rsid w:val="006B3850"/>
    <w:rsid w:val="006B44F3"/>
    <w:rsid w:val="006B476C"/>
    <w:rsid w:val="006B6420"/>
    <w:rsid w:val="006B6AEF"/>
    <w:rsid w:val="006C1AB7"/>
    <w:rsid w:val="006C1D33"/>
    <w:rsid w:val="006C5E13"/>
    <w:rsid w:val="006C61EC"/>
    <w:rsid w:val="006C65E0"/>
    <w:rsid w:val="006C6759"/>
    <w:rsid w:val="006C6C20"/>
    <w:rsid w:val="006D0077"/>
    <w:rsid w:val="006D08A3"/>
    <w:rsid w:val="006D41AE"/>
    <w:rsid w:val="006D7DEF"/>
    <w:rsid w:val="006E0FA9"/>
    <w:rsid w:val="006E195C"/>
    <w:rsid w:val="006E1DBA"/>
    <w:rsid w:val="006E26C4"/>
    <w:rsid w:val="006E573B"/>
    <w:rsid w:val="006E6BD3"/>
    <w:rsid w:val="006E7D43"/>
    <w:rsid w:val="006F044D"/>
    <w:rsid w:val="006F06DC"/>
    <w:rsid w:val="006F0D7E"/>
    <w:rsid w:val="006F24CC"/>
    <w:rsid w:val="006F2BD5"/>
    <w:rsid w:val="006F2F4E"/>
    <w:rsid w:val="006F4DC7"/>
    <w:rsid w:val="006F4F10"/>
    <w:rsid w:val="006F576B"/>
    <w:rsid w:val="00700576"/>
    <w:rsid w:val="00700CAE"/>
    <w:rsid w:val="007010CA"/>
    <w:rsid w:val="0070206A"/>
    <w:rsid w:val="00705D60"/>
    <w:rsid w:val="007064F1"/>
    <w:rsid w:val="007067ED"/>
    <w:rsid w:val="00706C85"/>
    <w:rsid w:val="007075D7"/>
    <w:rsid w:val="0070780F"/>
    <w:rsid w:val="00711F96"/>
    <w:rsid w:val="00714C5A"/>
    <w:rsid w:val="00716693"/>
    <w:rsid w:val="00716A3D"/>
    <w:rsid w:val="00720428"/>
    <w:rsid w:val="00723C43"/>
    <w:rsid w:val="00723E2B"/>
    <w:rsid w:val="007265DE"/>
    <w:rsid w:val="007273D0"/>
    <w:rsid w:val="00727BF0"/>
    <w:rsid w:val="00730A0B"/>
    <w:rsid w:val="00730A87"/>
    <w:rsid w:val="00730F3E"/>
    <w:rsid w:val="007310EE"/>
    <w:rsid w:val="0073160C"/>
    <w:rsid w:val="00731C08"/>
    <w:rsid w:val="0073437A"/>
    <w:rsid w:val="007403C8"/>
    <w:rsid w:val="0074065B"/>
    <w:rsid w:val="00741D6D"/>
    <w:rsid w:val="00743DC6"/>
    <w:rsid w:val="007462C6"/>
    <w:rsid w:val="00746DDA"/>
    <w:rsid w:val="00747238"/>
    <w:rsid w:val="00750792"/>
    <w:rsid w:val="00751F85"/>
    <w:rsid w:val="00752C94"/>
    <w:rsid w:val="0075351F"/>
    <w:rsid w:val="00753B4F"/>
    <w:rsid w:val="00754532"/>
    <w:rsid w:val="00755734"/>
    <w:rsid w:val="0075662B"/>
    <w:rsid w:val="007574F4"/>
    <w:rsid w:val="007575D9"/>
    <w:rsid w:val="00757C31"/>
    <w:rsid w:val="00757E8C"/>
    <w:rsid w:val="00760239"/>
    <w:rsid w:val="0076194A"/>
    <w:rsid w:val="00763607"/>
    <w:rsid w:val="00765EFB"/>
    <w:rsid w:val="00766441"/>
    <w:rsid w:val="00767475"/>
    <w:rsid w:val="00770EF0"/>
    <w:rsid w:val="00771FF5"/>
    <w:rsid w:val="00772E8F"/>
    <w:rsid w:val="00774D94"/>
    <w:rsid w:val="00775EF5"/>
    <w:rsid w:val="007762B2"/>
    <w:rsid w:val="00780757"/>
    <w:rsid w:val="007812C9"/>
    <w:rsid w:val="00782D72"/>
    <w:rsid w:val="007841A5"/>
    <w:rsid w:val="007854BF"/>
    <w:rsid w:val="0078622A"/>
    <w:rsid w:val="0079080D"/>
    <w:rsid w:val="0079102A"/>
    <w:rsid w:val="00793AE9"/>
    <w:rsid w:val="00793D6C"/>
    <w:rsid w:val="007955D7"/>
    <w:rsid w:val="007969BB"/>
    <w:rsid w:val="007972AB"/>
    <w:rsid w:val="00797499"/>
    <w:rsid w:val="00797752"/>
    <w:rsid w:val="007A0ACB"/>
    <w:rsid w:val="007A2A8D"/>
    <w:rsid w:val="007A35BF"/>
    <w:rsid w:val="007A43C7"/>
    <w:rsid w:val="007A769B"/>
    <w:rsid w:val="007B1115"/>
    <w:rsid w:val="007B24E6"/>
    <w:rsid w:val="007B4C40"/>
    <w:rsid w:val="007B7B7A"/>
    <w:rsid w:val="007C036A"/>
    <w:rsid w:val="007C2D24"/>
    <w:rsid w:val="007C4ED4"/>
    <w:rsid w:val="007C60ED"/>
    <w:rsid w:val="007C6843"/>
    <w:rsid w:val="007D0FBA"/>
    <w:rsid w:val="007D250F"/>
    <w:rsid w:val="007D3B53"/>
    <w:rsid w:val="007D4A39"/>
    <w:rsid w:val="007D588F"/>
    <w:rsid w:val="007D5EF9"/>
    <w:rsid w:val="007D78F6"/>
    <w:rsid w:val="007E14A8"/>
    <w:rsid w:val="007E2827"/>
    <w:rsid w:val="007E31B0"/>
    <w:rsid w:val="007E4119"/>
    <w:rsid w:val="007E55FC"/>
    <w:rsid w:val="007E580A"/>
    <w:rsid w:val="007E5D0C"/>
    <w:rsid w:val="007E76F8"/>
    <w:rsid w:val="007F081A"/>
    <w:rsid w:val="007F09DF"/>
    <w:rsid w:val="007F09EF"/>
    <w:rsid w:val="007F317E"/>
    <w:rsid w:val="007F3AB7"/>
    <w:rsid w:val="007F46E7"/>
    <w:rsid w:val="007F5F61"/>
    <w:rsid w:val="007F67AC"/>
    <w:rsid w:val="007F6A56"/>
    <w:rsid w:val="007F7534"/>
    <w:rsid w:val="008010AE"/>
    <w:rsid w:val="008016B1"/>
    <w:rsid w:val="0080228A"/>
    <w:rsid w:val="00802F3F"/>
    <w:rsid w:val="0080395B"/>
    <w:rsid w:val="00804F56"/>
    <w:rsid w:val="008054B9"/>
    <w:rsid w:val="00806AE0"/>
    <w:rsid w:val="008074C6"/>
    <w:rsid w:val="008078AC"/>
    <w:rsid w:val="0081097F"/>
    <w:rsid w:val="008109CD"/>
    <w:rsid w:val="00812F12"/>
    <w:rsid w:val="00814906"/>
    <w:rsid w:val="00814BA4"/>
    <w:rsid w:val="0081758C"/>
    <w:rsid w:val="008202DB"/>
    <w:rsid w:val="00820768"/>
    <w:rsid w:val="00821145"/>
    <w:rsid w:val="008221DE"/>
    <w:rsid w:val="008223E8"/>
    <w:rsid w:val="00824C22"/>
    <w:rsid w:val="0082648F"/>
    <w:rsid w:val="008300BF"/>
    <w:rsid w:val="0083071D"/>
    <w:rsid w:val="00830837"/>
    <w:rsid w:val="00833E11"/>
    <w:rsid w:val="00834C8B"/>
    <w:rsid w:val="00835694"/>
    <w:rsid w:val="0083729C"/>
    <w:rsid w:val="00841828"/>
    <w:rsid w:val="008448E5"/>
    <w:rsid w:val="00847E42"/>
    <w:rsid w:val="00853E13"/>
    <w:rsid w:val="00854054"/>
    <w:rsid w:val="0085709F"/>
    <w:rsid w:val="0086033B"/>
    <w:rsid w:val="008603FD"/>
    <w:rsid w:val="00861E75"/>
    <w:rsid w:val="0086419F"/>
    <w:rsid w:val="00865177"/>
    <w:rsid w:val="008667BB"/>
    <w:rsid w:val="00870338"/>
    <w:rsid w:val="00870999"/>
    <w:rsid w:val="00874054"/>
    <w:rsid w:val="00875762"/>
    <w:rsid w:val="00875D62"/>
    <w:rsid w:val="00875EE3"/>
    <w:rsid w:val="008801B9"/>
    <w:rsid w:val="00881E1D"/>
    <w:rsid w:val="00882427"/>
    <w:rsid w:val="00882863"/>
    <w:rsid w:val="00883817"/>
    <w:rsid w:val="008845E2"/>
    <w:rsid w:val="00884742"/>
    <w:rsid w:val="00884EAB"/>
    <w:rsid w:val="00884FCD"/>
    <w:rsid w:val="008854A8"/>
    <w:rsid w:val="00885E37"/>
    <w:rsid w:val="008867FC"/>
    <w:rsid w:val="00886875"/>
    <w:rsid w:val="008868A2"/>
    <w:rsid w:val="0089006D"/>
    <w:rsid w:val="00892324"/>
    <w:rsid w:val="008928B8"/>
    <w:rsid w:val="00893B1A"/>
    <w:rsid w:val="00893B88"/>
    <w:rsid w:val="00893E00"/>
    <w:rsid w:val="0089439A"/>
    <w:rsid w:val="008959D4"/>
    <w:rsid w:val="00896461"/>
    <w:rsid w:val="008970D9"/>
    <w:rsid w:val="00897267"/>
    <w:rsid w:val="00897FEC"/>
    <w:rsid w:val="008A027B"/>
    <w:rsid w:val="008A1F8F"/>
    <w:rsid w:val="008A1F9D"/>
    <w:rsid w:val="008A4814"/>
    <w:rsid w:val="008A6127"/>
    <w:rsid w:val="008A66FF"/>
    <w:rsid w:val="008B396C"/>
    <w:rsid w:val="008B40ED"/>
    <w:rsid w:val="008B4812"/>
    <w:rsid w:val="008B6558"/>
    <w:rsid w:val="008B65D1"/>
    <w:rsid w:val="008C205B"/>
    <w:rsid w:val="008C7000"/>
    <w:rsid w:val="008C7A58"/>
    <w:rsid w:val="008D1033"/>
    <w:rsid w:val="008D1381"/>
    <w:rsid w:val="008D19EC"/>
    <w:rsid w:val="008D3629"/>
    <w:rsid w:val="008D5AD3"/>
    <w:rsid w:val="008D607A"/>
    <w:rsid w:val="008D62DA"/>
    <w:rsid w:val="008E09F3"/>
    <w:rsid w:val="008E189F"/>
    <w:rsid w:val="008E1DBF"/>
    <w:rsid w:val="008E1E8F"/>
    <w:rsid w:val="008E2DD5"/>
    <w:rsid w:val="008E2EA6"/>
    <w:rsid w:val="008E35D5"/>
    <w:rsid w:val="008E3DE7"/>
    <w:rsid w:val="008E6224"/>
    <w:rsid w:val="008F0F12"/>
    <w:rsid w:val="008F22BF"/>
    <w:rsid w:val="008F4F3B"/>
    <w:rsid w:val="008F50EC"/>
    <w:rsid w:val="008F531F"/>
    <w:rsid w:val="008F57C8"/>
    <w:rsid w:val="008F5955"/>
    <w:rsid w:val="008F61D4"/>
    <w:rsid w:val="00901531"/>
    <w:rsid w:val="00903C84"/>
    <w:rsid w:val="00905746"/>
    <w:rsid w:val="009069B0"/>
    <w:rsid w:val="00907CE5"/>
    <w:rsid w:val="009112F5"/>
    <w:rsid w:val="0091242D"/>
    <w:rsid w:val="009135E8"/>
    <w:rsid w:val="009147F3"/>
    <w:rsid w:val="00915D41"/>
    <w:rsid w:val="00915EA7"/>
    <w:rsid w:val="0091658E"/>
    <w:rsid w:val="00916C30"/>
    <w:rsid w:val="00916E52"/>
    <w:rsid w:val="00917729"/>
    <w:rsid w:val="00917C73"/>
    <w:rsid w:val="009207F5"/>
    <w:rsid w:val="009236A5"/>
    <w:rsid w:val="00924130"/>
    <w:rsid w:val="00924296"/>
    <w:rsid w:val="00926720"/>
    <w:rsid w:val="00926C9C"/>
    <w:rsid w:val="009274FA"/>
    <w:rsid w:val="00927E43"/>
    <w:rsid w:val="0093076C"/>
    <w:rsid w:val="009312E1"/>
    <w:rsid w:val="0093284B"/>
    <w:rsid w:val="0093506F"/>
    <w:rsid w:val="009352DD"/>
    <w:rsid w:val="00935434"/>
    <w:rsid w:val="00935B15"/>
    <w:rsid w:val="0093607A"/>
    <w:rsid w:val="00936591"/>
    <w:rsid w:val="009371BA"/>
    <w:rsid w:val="009372D1"/>
    <w:rsid w:val="0094061B"/>
    <w:rsid w:val="009416C5"/>
    <w:rsid w:val="0094177C"/>
    <w:rsid w:val="0094255F"/>
    <w:rsid w:val="0094464E"/>
    <w:rsid w:val="00944835"/>
    <w:rsid w:val="00944E44"/>
    <w:rsid w:val="00945CF6"/>
    <w:rsid w:val="00946D02"/>
    <w:rsid w:val="00950D51"/>
    <w:rsid w:val="00951CBD"/>
    <w:rsid w:val="0095200C"/>
    <w:rsid w:val="009543B9"/>
    <w:rsid w:val="00954B85"/>
    <w:rsid w:val="00955D8F"/>
    <w:rsid w:val="00955FF2"/>
    <w:rsid w:val="00961C36"/>
    <w:rsid w:val="00962CA3"/>
    <w:rsid w:val="00967091"/>
    <w:rsid w:val="009673CA"/>
    <w:rsid w:val="00970C2C"/>
    <w:rsid w:val="00971DA5"/>
    <w:rsid w:val="00971FA5"/>
    <w:rsid w:val="0097666F"/>
    <w:rsid w:val="00980CB1"/>
    <w:rsid w:val="00980F3B"/>
    <w:rsid w:val="0098121C"/>
    <w:rsid w:val="00982FB0"/>
    <w:rsid w:val="009835D5"/>
    <w:rsid w:val="00984ED0"/>
    <w:rsid w:val="00986EC5"/>
    <w:rsid w:val="00987002"/>
    <w:rsid w:val="00987131"/>
    <w:rsid w:val="00987862"/>
    <w:rsid w:val="00987CE9"/>
    <w:rsid w:val="00987FBC"/>
    <w:rsid w:val="00994AE5"/>
    <w:rsid w:val="00994FB4"/>
    <w:rsid w:val="0099561E"/>
    <w:rsid w:val="009957CC"/>
    <w:rsid w:val="009959EE"/>
    <w:rsid w:val="00997286"/>
    <w:rsid w:val="009A0EF3"/>
    <w:rsid w:val="009A19CF"/>
    <w:rsid w:val="009A3815"/>
    <w:rsid w:val="009A3F33"/>
    <w:rsid w:val="009A4781"/>
    <w:rsid w:val="009A4848"/>
    <w:rsid w:val="009A736E"/>
    <w:rsid w:val="009B05C2"/>
    <w:rsid w:val="009B0CC8"/>
    <w:rsid w:val="009B0D33"/>
    <w:rsid w:val="009B3A7F"/>
    <w:rsid w:val="009B5E82"/>
    <w:rsid w:val="009B5F5E"/>
    <w:rsid w:val="009B67B2"/>
    <w:rsid w:val="009B7D28"/>
    <w:rsid w:val="009C19BB"/>
    <w:rsid w:val="009C33C4"/>
    <w:rsid w:val="009C4240"/>
    <w:rsid w:val="009C53BB"/>
    <w:rsid w:val="009D069E"/>
    <w:rsid w:val="009D28F2"/>
    <w:rsid w:val="009D2B7E"/>
    <w:rsid w:val="009D34E8"/>
    <w:rsid w:val="009D4539"/>
    <w:rsid w:val="009D5DDE"/>
    <w:rsid w:val="009D5FBC"/>
    <w:rsid w:val="009D6A3A"/>
    <w:rsid w:val="009D78FF"/>
    <w:rsid w:val="009E19F4"/>
    <w:rsid w:val="009E36D0"/>
    <w:rsid w:val="009E5C82"/>
    <w:rsid w:val="009F1749"/>
    <w:rsid w:val="009F30E1"/>
    <w:rsid w:val="009F3527"/>
    <w:rsid w:val="009F42A8"/>
    <w:rsid w:val="009F6FD7"/>
    <w:rsid w:val="009F7829"/>
    <w:rsid w:val="00A00C2F"/>
    <w:rsid w:val="00A02DC2"/>
    <w:rsid w:val="00A02FD3"/>
    <w:rsid w:val="00A03906"/>
    <w:rsid w:val="00A03C6E"/>
    <w:rsid w:val="00A04D22"/>
    <w:rsid w:val="00A06409"/>
    <w:rsid w:val="00A1282A"/>
    <w:rsid w:val="00A163F5"/>
    <w:rsid w:val="00A1691E"/>
    <w:rsid w:val="00A21E56"/>
    <w:rsid w:val="00A232E8"/>
    <w:rsid w:val="00A249D2"/>
    <w:rsid w:val="00A27721"/>
    <w:rsid w:val="00A27CE1"/>
    <w:rsid w:val="00A30766"/>
    <w:rsid w:val="00A36B44"/>
    <w:rsid w:val="00A36FB8"/>
    <w:rsid w:val="00A406C2"/>
    <w:rsid w:val="00A42B67"/>
    <w:rsid w:val="00A443E7"/>
    <w:rsid w:val="00A44C08"/>
    <w:rsid w:val="00A47C42"/>
    <w:rsid w:val="00A51232"/>
    <w:rsid w:val="00A520D5"/>
    <w:rsid w:val="00A52A4A"/>
    <w:rsid w:val="00A53662"/>
    <w:rsid w:val="00A53709"/>
    <w:rsid w:val="00A56597"/>
    <w:rsid w:val="00A57665"/>
    <w:rsid w:val="00A63E60"/>
    <w:rsid w:val="00A64CBF"/>
    <w:rsid w:val="00A64D49"/>
    <w:rsid w:val="00A7291D"/>
    <w:rsid w:val="00A73614"/>
    <w:rsid w:val="00A73C96"/>
    <w:rsid w:val="00A7419A"/>
    <w:rsid w:val="00A74C42"/>
    <w:rsid w:val="00A756ED"/>
    <w:rsid w:val="00A761DA"/>
    <w:rsid w:val="00A773B8"/>
    <w:rsid w:val="00A77F26"/>
    <w:rsid w:val="00A81A3B"/>
    <w:rsid w:val="00A81EE5"/>
    <w:rsid w:val="00A820F7"/>
    <w:rsid w:val="00A8312C"/>
    <w:rsid w:val="00A83B55"/>
    <w:rsid w:val="00A846D1"/>
    <w:rsid w:val="00A90376"/>
    <w:rsid w:val="00A92247"/>
    <w:rsid w:val="00A92AE6"/>
    <w:rsid w:val="00A94105"/>
    <w:rsid w:val="00A95B30"/>
    <w:rsid w:val="00A9624D"/>
    <w:rsid w:val="00AA0A3D"/>
    <w:rsid w:val="00AA0EC5"/>
    <w:rsid w:val="00AA11E6"/>
    <w:rsid w:val="00AA1347"/>
    <w:rsid w:val="00AA1A9F"/>
    <w:rsid w:val="00AA293D"/>
    <w:rsid w:val="00AA2DA3"/>
    <w:rsid w:val="00AA374B"/>
    <w:rsid w:val="00AA39FA"/>
    <w:rsid w:val="00AA3D34"/>
    <w:rsid w:val="00AA443E"/>
    <w:rsid w:val="00AA4924"/>
    <w:rsid w:val="00AA52FB"/>
    <w:rsid w:val="00AB06C4"/>
    <w:rsid w:val="00AB4D9C"/>
    <w:rsid w:val="00AB6F3D"/>
    <w:rsid w:val="00AB7C39"/>
    <w:rsid w:val="00AC00EE"/>
    <w:rsid w:val="00AC082D"/>
    <w:rsid w:val="00AC0EAD"/>
    <w:rsid w:val="00AC1342"/>
    <w:rsid w:val="00AC2ADF"/>
    <w:rsid w:val="00AC3AFC"/>
    <w:rsid w:val="00AC3B49"/>
    <w:rsid w:val="00AC49C5"/>
    <w:rsid w:val="00AC5884"/>
    <w:rsid w:val="00AC5F71"/>
    <w:rsid w:val="00AD11F2"/>
    <w:rsid w:val="00AD213F"/>
    <w:rsid w:val="00AD320D"/>
    <w:rsid w:val="00AD3250"/>
    <w:rsid w:val="00AD549F"/>
    <w:rsid w:val="00AE0AB6"/>
    <w:rsid w:val="00AE15D4"/>
    <w:rsid w:val="00AE3613"/>
    <w:rsid w:val="00AE39F1"/>
    <w:rsid w:val="00AE50BC"/>
    <w:rsid w:val="00AE5F1E"/>
    <w:rsid w:val="00AE615D"/>
    <w:rsid w:val="00AE63AE"/>
    <w:rsid w:val="00AE7060"/>
    <w:rsid w:val="00AE75AD"/>
    <w:rsid w:val="00AE791A"/>
    <w:rsid w:val="00AF1A41"/>
    <w:rsid w:val="00AF245C"/>
    <w:rsid w:val="00AF30D5"/>
    <w:rsid w:val="00AF32DD"/>
    <w:rsid w:val="00AF4809"/>
    <w:rsid w:val="00AF4DE8"/>
    <w:rsid w:val="00AF5978"/>
    <w:rsid w:val="00AF641E"/>
    <w:rsid w:val="00AF741A"/>
    <w:rsid w:val="00AF777E"/>
    <w:rsid w:val="00AF77E4"/>
    <w:rsid w:val="00B00494"/>
    <w:rsid w:val="00B03354"/>
    <w:rsid w:val="00B040BA"/>
    <w:rsid w:val="00B05FB5"/>
    <w:rsid w:val="00B06BE1"/>
    <w:rsid w:val="00B1173E"/>
    <w:rsid w:val="00B1260A"/>
    <w:rsid w:val="00B1492D"/>
    <w:rsid w:val="00B15F2A"/>
    <w:rsid w:val="00B15FB1"/>
    <w:rsid w:val="00B16216"/>
    <w:rsid w:val="00B16AA8"/>
    <w:rsid w:val="00B16E36"/>
    <w:rsid w:val="00B21C22"/>
    <w:rsid w:val="00B24907"/>
    <w:rsid w:val="00B24F73"/>
    <w:rsid w:val="00B257FB"/>
    <w:rsid w:val="00B26062"/>
    <w:rsid w:val="00B30023"/>
    <w:rsid w:val="00B30497"/>
    <w:rsid w:val="00B31207"/>
    <w:rsid w:val="00B33F5F"/>
    <w:rsid w:val="00B34290"/>
    <w:rsid w:val="00B34FC4"/>
    <w:rsid w:val="00B35EF1"/>
    <w:rsid w:val="00B37A2A"/>
    <w:rsid w:val="00B420C2"/>
    <w:rsid w:val="00B433B7"/>
    <w:rsid w:val="00B43410"/>
    <w:rsid w:val="00B449BD"/>
    <w:rsid w:val="00B44A9B"/>
    <w:rsid w:val="00B4514D"/>
    <w:rsid w:val="00B45156"/>
    <w:rsid w:val="00B476EB"/>
    <w:rsid w:val="00B50956"/>
    <w:rsid w:val="00B50BE6"/>
    <w:rsid w:val="00B5134A"/>
    <w:rsid w:val="00B51F65"/>
    <w:rsid w:val="00B53853"/>
    <w:rsid w:val="00B545DF"/>
    <w:rsid w:val="00B556A8"/>
    <w:rsid w:val="00B55BF8"/>
    <w:rsid w:val="00B55D5E"/>
    <w:rsid w:val="00B56433"/>
    <w:rsid w:val="00B56CA4"/>
    <w:rsid w:val="00B60235"/>
    <w:rsid w:val="00B615BF"/>
    <w:rsid w:val="00B62B1A"/>
    <w:rsid w:val="00B62E59"/>
    <w:rsid w:val="00B63264"/>
    <w:rsid w:val="00B64809"/>
    <w:rsid w:val="00B64CB9"/>
    <w:rsid w:val="00B6697B"/>
    <w:rsid w:val="00B66BB2"/>
    <w:rsid w:val="00B70E91"/>
    <w:rsid w:val="00B712F3"/>
    <w:rsid w:val="00B721CA"/>
    <w:rsid w:val="00B722B2"/>
    <w:rsid w:val="00B728BB"/>
    <w:rsid w:val="00B73F5C"/>
    <w:rsid w:val="00B74394"/>
    <w:rsid w:val="00B770F4"/>
    <w:rsid w:val="00B77A28"/>
    <w:rsid w:val="00B83CDF"/>
    <w:rsid w:val="00B848CB"/>
    <w:rsid w:val="00B85D00"/>
    <w:rsid w:val="00B865C8"/>
    <w:rsid w:val="00B8708F"/>
    <w:rsid w:val="00B911F4"/>
    <w:rsid w:val="00B96ACE"/>
    <w:rsid w:val="00B972EA"/>
    <w:rsid w:val="00B97BFC"/>
    <w:rsid w:val="00BA1F07"/>
    <w:rsid w:val="00BA3454"/>
    <w:rsid w:val="00BA5F7D"/>
    <w:rsid w:val="00BA71C9"/>
    <w:rsid w:val="00BA7BA4"/>
    <w:rsid w:val="00BB07F0"/>
    <w:rsid w:val="00BB0D09"/>
    <w:rsid w:val="00BB1838"/>
    <w:rsid w:val="00BB3001"/>
    <w:rsid w:val="00BB46FF"/>
    <w:rsid w:val="00BB65FD"/>
    <w:rsid w:val="00BB7075"/>
    <w:rsid w:val="00BC04F6"/>
    <w:rsid w:val="00BC28EC"/>
    <w:rsid w:val="00BC35F7"/>
    <w:rsid w:val="00BC455E"/>
    <w:rsid w:val="00BC51E5"/>
    <w:rsid w:val="00BC644C"/>
    <w:rsid w:val="00BD076E"/>
    <w:rsid w:val="00BD5003"/>
    <w:rsid w:val="00BD5C90"/>
    <w:rsid w:val="00BD6C1B"/>
    <w:rsid w:val="00BE0A49"/>
    <w:rsid w:val="00BE3380"/>
    <w:rsid w:val="00BE4341"/>
    <w:rsid w:val="00BE47C2"/>
    <w:rsid w:val="00BE5BB8"/>
    <w:rsid w:val="00BE5DFA"/>
    <w:rsid w:val="00BE65F2"/>
    <w:rsid w:val="00BE7B6B"/>
    <w:rsid w:val="00BF1D8C"/>
    <w:rsid w:val="00BF237F"/>
    <w:rsid w:val="00BF240D"/>
    <w:rsid w:val="00BF4260"/>
    <w:rsid w:val="00BF459B"/>
    <w:rsid w:val="00BF70B4"/>
    <w:rsid w:val="00C00CB4"/>
    <w:rsid w:val="00C014B2"/>
    <w:rsid w:val="00C04BAE"/>
    <w:rsid w:val="00C05619"/>
    <w:rsid w:val="00C056C4"/>
    <w:rsid w:val="00C06261"/>
    <w:rsid w:val="00C06D54"/>
    <w:rsid w:val="00C07D13"/>
    <w:rsid w:val="00C1006D"/>
    <w:rsid w:val="00C10495"/>
    <w:rsid w:val="00C10627"/>
    <w:rsid w:val="00C1182D"/>
    <w:rsid w:val="00C122A6"/>
    <w:rsid w:val="00C13D17"/>
    <w:rsid w:val="00C15951"/>
    <w:rsid w:val="00C17D31"/>
    <w:rsid w:val="00C20023"/>
    <w:rsid w:val="00C200FC"/>
    <w:rsid w:val="00C2086B"/>
    <w:rsid w:val="00C20E13"/>
    <w:rsid w:val="00C23360"/>
    <w:rsid w:val="00C256F5"/>
    <w:rsid w:val="00C25B20"/>
    <w:rsid w:val="00C3096C"/>
    <w:rsid w:val="00C319D2"/>
    <w:rsid w:val="00C32F7D"/>
    <w:rsid w:val="00C3409E"/>
    <w:rsid w:val="00C41356"/>
    <w:rsid w:val="00C41423"/>
    <w:rsid w:val="00C46081"/>
    <w:rsid w:val="00C47D01"/>
    <w:rsid w:val="00C501E1"/>
    <w:rsid w:val="00C513D4"/>
    <w:rsid w:val="00C518A3"/>
    <w:rsid w:val="00C51C94"/>
    <w:rsid w:val="00C51F56"/>
    <w:rsid w:val="00C5546D"/>
    <w:rsid w:val="00C61036"/>
    <w:rsid w:val="00C611CA"/>
    <w:rsid w:val="00C61A10"/>
    <w:rsid w:val="00C6327A"/>
    <w:rsid w:val="00C65496"/>
    <w:rsid w:val="00C65AD1"/>
    <w:rsid w:val="00C660AD"/>
    <w:rsid w:val="00C66EFD"/>
    <w:rsid w:val="00C71B54"/>
    <w:rsid w:val="00C73148"/>
    <w:rsid w:val="00C735D9"/>
    <w:rsid w:val="00C743E8"/>
    <w:rsid w:val="00C755BD"/>
    <w:rsid w:val="00C758E4"/>
    <w:rsid w:val="00C7594E"/>
    <w:rsid w:val="00C75F62"/>
    <w:rsid w:val="00C77E4E"/>
    <w:rsid w:val="00C80894"/>
    <w:rsid w:val="00C82537"/>
    <w:rsid w:val="00C832A4"/>
    <w:rsid w:val="00C83DB5"/>
    <w:rsid w:val="00C83DD0"/>
    <w:rsid w:val="00C8490A"/>
    <w:rsid w:val="00C85563"/>
    <w:rsid w:val="00C866C5"/>
    <w:rsid w:val="00C86BB1"/>
    <w:rsid w:val="00C86D7C"/>
    <w:rsid w:val="00C872F1"/>
    <w:rsid w:val="00C90F4B"/>
    <w:rsid w:val="00C93338"/>
    <w:rsid w:val="00C93A24"/>
    <w:rsid w:val="00C947D5"/>
    <w:rsid w:val="00C95EB3"/>
    <w:rsid w:val="00C963E5"/>
    <w:rsid w:val="00C973C4"/>
    <w:rsid w:val="00C97B87"/>
    <w:rsid w:val="00CA06C1"/>
    <w:rsid w:val="00CA152F"/>
    <w:rsid w:val="00CA1C19"/>
    <w:rsid w:val="00CA38C5"/>
    <w:rsid w:val="00CA4583"/>
    <w:rsid w:val="00CA5ECB"/>
    <w:rsid w:val="00CA6EDA"/>
    <w:rsid w:val="00CA7CEE"/>
    <w:rsid w:val="00CB1A07"/>
    <w:rsid w:val="00CB2249"/>
    <w:rsid w:val="00CB388F"/>
    <w:rsid w:val="00CB4B76"/>
    <w:rsid w:val="00CB55AC"/>
    <w:rsid w:val="00CB56C1"/>
    <w:rsid w:val="00CB6515"/>
    <w:rsid w:val="00CB6FDF"/>
    <w:rsid w:val="00CB71B4"/>
    <w:rsid w:val="00CC484B"/>
    <w:rsid w:val="00CC78C8"/>
    <w:rsid w:val="00CC79B1"/>
    <w:rsid w:val="00CC79F7"/>
    <w:rsid w:val="00CC7AA9"/>
    <w:rsid w:val="00CC7D0A"/>
    <w:rsid w:val="00CD13C6"/>
    <w:rsid w:val="00CD2008"/>
    <w:rsid w:val="00CD2708"/>
    <w:rsid w:val="00CD392F"/>
    <w:rsid w:val="00CD3A04"/>
    <w:rsid w:val="00CD409B"/>
    <w:rsid w:val="00CD58FB"/>
    <w:rsid w:val="00CD7134"/>
    <w:rsid w:val="00CD782F"/>
    <w:rsid w:val="00CE06C1"/>
    <w:rsid w:val="00CE630C"/>
    <w:rsid w:val="00CE636E"/>
    <w:rsid w:val="00CF02E1"/>
    <w:rsid w:val="00CF03D0"/>
    <w:rsid w:val="00CF0D82"/>
    <w:rsid w:val="00CF1D30"/>
    <w:rsid w:val="00CF419E"/>
    <w:rsid w:val="00CF637F"/>
    <w:rsid w:val="00D004AB"/>
    <w:rsid w:val="00D01AE8"/>
    <w:rsid w:val="00D02E76"/>
    <w:rsid w:val="00D034D8"/>
    <w:rsid w:val="00D10F64"/>
    <w:rsid w:val="00D110EC"/>
    <w:rsid w:val="00D127EE"/>
    <w:rsid w:val="00D1283F"/>
    <w:rsid w:val="00D12E93"/>
    <w:rsid w:val="00D13DB6"/>
    <w:rsid w:val="00D13E42"/>
    <w:rsid w:val="00D169D9"/>
    <w:rsid w:val="00D16ED6"/>
    <w:rsid w:val="00D21515"/>
    <w:rsid w:val="00D23300"/>
    <w:rsid w:val="00D24586"/>
    <w:rsid w:val="00D24B65"/>
    <w:rsid w:val="00D263A5"/>
    <w:rsid w:val="00D26D30"/>
    <w:rsid w:val="00D30470"/>
    <w:rsid w:val="00D31677"/>
    <w:rsid w:val="00D32304"/>
    <w:rsid w:val="00D32A2D"/>
    <w:rsid w:val="00D33933"/>
    <w:rsid w:val="00D3435F"/>
    <w:rsid w:val="00D358A9"/>
    <w:rsid w:val="00D36339"/>
    <w:rsid w:val="00D410A9"/>
    <w:rsid w:val="00D464F9"/>
    <w:rsid w:val="00D4694C"/>
    <w:rsid w:val="00D50684"/>
    <w:rsid w:val="00D52215"/>
    <w:rsid w:val="00D54D60"/>
    <w:rsid w:val="00D551C9"/>
    <w:rsid w:val="00D56125"/>
    <w:rsid w:val="00D63207"/>
    <w:rsid w:val="00D653FF"/>
    <w:rsid w:val="00D673F1"/>
    <w:rsid w:val="00D700B4"/>
    <w:rsid w:val="00D70640"/>
    <w:rsid w:val="00D71F71"/>
    <w:rsid w:val="00D72447"/>
    <w:rsid w:val="00D72DF7"/>
    <w:rsid w:val="00D73372"/>
    <w:rsid w:val="00D73AAD"/>
    <w:rsid w:val="00D73DD4"/>
    <w:rsid w:val="00D745FB"/>
    <w:rsid w:val="00D756C7"/>
    <w:rsid w:val="00D7572C"/>
    <w:rsid w:val="00D75BA9"/>
    <w:rsid w:val="00D76E04"/>
    <w:rsid w:val="00D76F68"/>
    <w:rsid w:val="00D81815"/>
    <w:rsid w:val="00D82501"/>
    <w:rsid w:val="00D829D6"/>
    <w:rsid w:val="00D82BDE"/>
    <w:rsid w:val="00D82C73"/>
    <w:rsid w:val="00D83D79"/>
    <w:rsid w:val="00D85B07"/>
    <w:rsid w:val="00D87183"/>
    <w:rsid w:val="00D87DB8"/>
    <w:rsid w:val="00D90974"/>
    <w:rsid w:val="00D93939"/>
    <w:rsid w:val="00D93C28"/>
    <w:rsid w:val="00D94805"/>
    <w:rsid w:val="00D9710C"/>
    <w:rsid w:val="00DA1576"/>
    <w:rsid w:val="00DA252A"/>
    <w:rsid w:val="00DA259E"/>
    <w:rsid w:val="00DA2936"/>
    <w:rsid w:val="00DA2E2A"/>
    <w:rsid w:val="00DA341F"/>
    <w:rsid w:val="00DA367D"/>
    <w:rsid w:val="00DA3937"/>
    <w:rsid w:val="00DA3BB1"/>
    <w:rsid w:val="00DA3D75"/>
    <w:rsid w:val="00DA4299"/>
    <w:rsid w:val="00DA4E34"/>
    <w:rsid w:val="00DA5086"/>
    <w:rsid w:val="00DB201E"/>
    <w:rsid w:val="00DB2C87"/>
    <w:rsid w:val="00DC1C99"/>
    <w:rsid w:val="00DC2715"/>
    <w:rsid w:val="00DC36AD"/>
    <w:rsid w:val="00DC379F"/>
    <w:rsid w:val="00DC4BC6"/>
    <w:rsid w:val="00DC4C60"/>
    <w:rsid w:val="00DC520A"/>
    <w:rsid w:val="00DC63D2"/>
    <w:rsid w:val="00DC66A6"/>
    <w:rsid w:val="00DD1C35"/>
    <w:rsid w:val="00DD356B"/>
    <w:rsid w:val="00DD5837"/>
    <w:rsid w:val="00DE0A3A"/>
    <w:rsid w:val="00DE0C1A"/>
    <w:rsid w:val="00DE49B9"/>
    <w:rsid w:val="00DE4B2A"/>
    <w:rsid w:val="00DE5D52"/>
    <w:rsid w:val="00DE7381"/>
    <w:rsid w:val="00DE7943"/>
    <w:rsid w:val="00DE7AF8"/>
    <w:rsid w:val="00DF052A"/>
    <w:rsid w:val="00DF0901"/>
    <w:rsid w:val="00DF398D"/>
    <w:rsid w:val="00DF3D0D"/>
    <w:rsid w:val="00DF3D53"/>
    <w:rsid w:val="00DF5F55"/>
    <w:rsid w:val="00DF750B"/>
    <w:rsid w:val="00E003EB"/>
    <w:rsid w:val="00E02CD6"/>
    <w:rsid w:val="00E03953"/>
    <w:rsid w:val="00E048E9"/>
    <w:rsid w:val="00E15421"/>
    <w:rsid w:val="00E205BA"/>
    <w:rsid w:val="00E23319"/>
    <w:rsid w:val="00E24CA0"/>
    <w:rsid w:val="00E2528A"/>
    <w:rsid w:val="00E30809"/>
    <w:rsid w:val="00E32119"/>
    <w:rsid w:val="00E3286F"/>
    <w:rsid w:val="00E340EC"/>
    <w:rsid w:val="00E3474E"/>
    <w:rsid w:val="00E351AE"/>
    <w:rsid w:val="00E353AB"/>
    <w:rsid w:val="00E359C3"/>
    <w:rsid w:val="00E36012"/>
    <w:rsid w:val="00E3607F"/>
    <w:rsid w:val="00E36EA4"/>
    <w:rsid w:val="00E37048"/>
    <w:rsid w:val="00E37FD9"/>
    <w:rsid w:val="00E405B7"/>
    <w:rsid w:val="00E4324F"/>
    <w:rsid w:val="00E4643C"/>
    <w:rsid w:val="00E51A46"/>
    <w:rsid w:val="00E5272D"/>
    <w:rsid w:val="00E52E1F"/>
    <w:rsid w:val="00E55A3A"/>
    <w:rsid w:val="00E56820"/>
    <w:rsid w:val="00E56C8D"/>
    <w:rsid w:val="00E6343F"/>
    <w:rsid w:val="00E63A2B"/>
    <w:rsid w:val="00E63BFD"/>
    <w:rsid w:val="00E659CF"/>
    <w:rsid w:val="00E662E5"/>
    <w:rsid w:val="00E7262F"/>
    <w:rsid w:val="00E738E3"/>
    <w:rsid w:val="00E74273"/>
    <w:rsid w:val="00E75362"/>
    <w:rsid w:val="00E7679B"/>
    <w:rsid w:val="00E76821"/>
    <w:rsid w:val="00E839CA"/>
    <w:rsid w:val="00E83B6B"/>
    <w:rsid w:val="00E842CE"/>
    <w:rsid w:val="00E84C87"/>
    <w:rsid w:val="00E91562"/>
    <w:rsid w:val="00E95C70"/>
    <w:rsid w:val="00E95F9A"/>
    <w:rsid w:val="00E96628"/>
    <w:rsid w:val="00E96CCF"/>
    <w:rsid w:val="00EA0F29"/>
    <w:rsid w:val="00EA1461"/>
    <w:rsid w:val="00EA17BC"/>
    <w:rsid w:val="00EA2B58"/>
    <w:rsid w:val="00EA2BF2"/>
    <w:rsid w:val="00EA2CD5"/>
    <w:rsid w:val="00EA32D9"/>
    <w:rsid w:val="00EA6126"/>
    <w:rsid w:val="00EA6140"/>
    <w:rsid w:val="00EA6BEA"/>
    <w:rsid w:val="00EB050D"/>
    <w:rsid w:val="00EB1221"/>
    <w:rsid w:val="00EB1EE4"/>
    <w:rsid w:val="00EB35C1"/>
    <w:rsid w:val="00EB57CB"/>
    <w:rsid w:val="00EB62F7"/>
    <w:rsid w:val="00EC0036"/>
    <w:rsid w:val="00EC04E5"/>
    <w:rsid w:val="00EC0A72"/>
    <w:rsid w:val="00EC25DF"/>
    <w:rsid w:val="00EC6188"/>
    <w:rsid w:val="00EC6EDF"/>
    <w:rsid w:val="00EC77F4"/>
    <w:rsid w:val="00ED0BD0"/>
    <w:rsid w:val="00ED18F0"/>
    <w:rsid w:val="00ED402A"/>
    <w:rsid w:val="00ED4D77"/>
    <w:rsid w:val="00ED52E1"/>
    <w:rsid w:val="00ED5EBF"/>
    <w:rsid w:val="00ED751F"/>
    <w:rsid w:val="00ED7CEF"/>
    <w:rsid w:val="00EE01FE"/>
    <w:rsid w:val="00EE0421"/>
    <w:rsid w:val="00EE1683"/>
    <w:rsid w:val="00EE313E"/>
    <w:rsid w:val="00EE358B"/>
    <w:rsid w:val="00EE5234"/>
    <w:rsid w:val="00EE6B34"/>
    <w:rsid w:val="00EF19A5"/>
    <w:rsid w:val="00EF221C"/>
    <w:rsid w:val="00EF3270"/>
    <w:rsid w:val="00EF63D7"/>
    <w:rsid w:val="00EF7468"/>
    <w:rsid w:val="00F00591"/>
    <w:rsid w:val="00F01A79"/>
    <w:rsid w:val="00F025C8"/>
    <w:rsid w:val="00F02866"/>
    <w:rsid w:val="00F028D6"/>
    <w:rsid w:val="00F02CA8"/>
    <w:rsid w:val="00F0339B"/>
    <w:rsid w:val="00F03E37"/>
    <w:rsid w:val="00F07D2A"/>
    <w:rsid w:val="00F108EE"/>
    <w:rsid w:val="00F1105B"/>
    <w:rsid w:val="00F11BF7"/>
    <w:rsid w:val="00F131D1"/>
    <w:rsid w:val="00F141C2"/>
    <w:rsid w:val="00F14580"/>
    <w:rsid w:val="00F174D1"/>
    <w:rsid w:val="00F20F13"/>
    <w:rsid w:val="00F21010"/>
    <w:rsid w:val="00F21429"/>
    <w:rsid w:val="00F248F3"/>
    <w:rsid w:val="00F25208"/>
    <w:rsid w:val="00F25708"/>
    <w:rsid w:val="00F25A04"/>
    <w:rsid w:val="00F26B38"/>
    <w:rsid w:val="00F27216"/>
    <w:rsid w:val="00F30A08"/>
    <w:rsid w:val="00F3128E"/>
    <w:rsid w:val="00F32867"/>
    <w:rsid w:val="00F330D4"/>
    <w:rsid w:val="00F331D4"/>
    <w:rsid w:val="00F345D3"/>
    <w:rsid w:val="00F361D5"/>
    <w:rsid w:val="00F4093A"/>
    <w:rsid w:val="00F43735"/>
    <w:rsid w:val="00F43CAC"/>
    <w:rsid w:val="00F44DA9"/>
    <w:rsid w:val="00F44DFB"/>
    <w:rsid w:val="00F44FCA"/>
    <w:rsid w:val="00F45304"/>
    <w:rsid w:val="00F5121A"/>
    <w:rsid w:val="00F519EF"/>
    <w:rsid w:val="00F520A4"/>
    <w:rsid w:val="00F526C9"/>
    <w:rsid w:val="00F55C56"/>
    <w:rsid w:val="00F565A0"/>
    <w:rsid w:val="00F569A0"/>
    <w:rsid w:val="00F5728E"/>
    <w:rsid w:val="00F60236"/>
    <w:rsid w:val="00F60649"/>
    <w:rsid w:val="00F61BA2"/>
    <w:rsid w:val="00F641C2"/>
    <w:rsid w:val="00F64598"/>
    <w:rsid w:val="00F64734"/>
    <w:rsid w:val="00F64770"/>
    <w:rsid w:val="00F6595E"/>
    <w:rsid w:val="00F66561"/>
    <w:rsid w:val="00F668B9"/>
    <w:rsid w:val="00F6696E"/>
    <w:rsid w:val="00F71A91"/>
    <w:rsid w:val="00F751E0"/>
    <w:rsid w:val="00F75570"/>
    <w:rsid w:val="00F77CE0"/>
    <w:rsid w:val="00F816BF"/>
    <w:rsid w:val="00F81750"/>
    <w:rsid w:val="00F8258C"/>
    <w:rsid w:val="00F83445"/>
    <w:rsid w:val="00F84232"/>
    <w:rsid w:val="00F843DB"/>
    <w:rsid w:val="00F84E3E"/>
    <w:rsid w:val="00F853B6"/>
    <w:rsid w:val="00F858C4"/>
    <w:rsid w:val="00F8596B"/>
    <w:rsid w:val="00F90CA4"/>
    <w:rsid w:val="00F90E7B"/>
    <w:rsid w:val="00F92B05"/>
    <w:rsid w:val="00F92D4B"/>
    <w:rsid w:val="00F9386D"/>
    <w:rsid w:val="00F94098"/>
    <w:rsid w:val="00F9445E"/>
    <w:rsid w:val="00F954B6"/>
    <w:rsid w:val="00FA0A81"/>
    <w:rsid w:val="00FA111F"/>
    <w:rsid w:val="00FA39C5"/>
    <w:rsid w:val="00FA3D47"/>
    <w:rsid w:val="00FA56B9"/>
    <w:rsid w:val="00FA737F"/>
    <w:rsid w:val="00FB053A"/>
    <w:rsid w:val="00FB16C9"/>
    <w:rsid w:val="00FB2CA0"/>
    <w:rsid w:val="00FB4DD3"/>
    <w:rsid w:val="00FB55AC"/>
    <w:rsid w:val="00FB61FC"/>
    <w:rsid w:val="00FC0332"/>
    <w:rsid w:val="00FC255C"/>
    <w:rsid w:val="00FC435E"/>
    <w:rsid w:val="00FC6A84"/>
    <w:rsid w:val="00FC71A1"/>
    <w:rsid w:val="00FD0B40"/>
    <w:rsid w:val="00FD16AA"/>
    <w:rsid w:val="00FD27E1"/>
    <w:rsid w:val="00FD2A8B"/>
    <w:rsid w:val="00FD3892"/>
    <w:rsid w:val="00FD5980"/>
    <w:rsid w:val="00FD67AB"/>
    <w:rsid w:val="00FD68AE"/>
    <w:rsid w:val="00FD7BCA"/>
    <w:rsid w:val="00FE077B"/>
    <w:rsid w:val="00FE0E7C"/>
    <w:rsid w:val="00FE15C7"/>
    <w:rsid w:val="00FE35AB"/>
    <w:rsid w:val="00FE56B7"/>
    <w:rsid w:val="00FE6276"/>
    <w:rsid w:val="00FE723B"/>
    <w:rsid w:val="00FF0527"/>
    <w:rsid w:val="00FF0D49"/>
    <w:rsid w:val="00FF2BCF"/>
    <w:rsid w:val="00FF398D"/>
    <w:rsid w:val="00FF46B6"/>
    <w:rsid w:val="00FF5A24"/>
    <w:rsid w:val="00FF7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FB499"/>
  <w15:docId w15:val="{CCD12CDA-F9CA-4ED0-BAD8-5D7290C4F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E4360"/>
    <w:rPr>
      <w:sz w:val="24"/>
      <w:szCs w:val="24"/>
    </w:rPr>
  </w:style>
  <w:style w:type="paragraph" w:styleId="1">
    <w:name w:val="heading 1"/>
    <w:basedOn w:val="a1"/>
    <w:next w:val="a1"/>
    <w:link w:val="10"/>
    <w:qFormat/>
    <w:rsid w:val="00082BC5"/>
    <w:pPr>
      <w:keepNext/>
      <w:jc w:val="center"/>
      <w:outlineLvl w:val="0"/>
    </w:pPr>
    <w:rPr>
      <w:b/>
      <w:bCs/>
      <w:sz w:val="32"/>
    </w:rPr>
  </w:style>
  <w:style w:type="paragraph" w:styleId="2">
    <w:name w:val="heading 2"/>
    <w:basedOn w:val="a1"/>
    <w:next w:val="a1"/>
    <w:link w:val="20"/>
    <w:semiHidden/>
    <w:unhideWhenUsed/>
    <w:qFormat/>
    <w:rsid w:val="0003487A"/>
    <w:pPr>
      <w:keepNext/>
      <w:spacing w:before="240" w:after="60"/>
      <w:outlineLvl w:val="1"/>
    </w:pPr>
    <w:rPr>
      <w:rFonts w:ascii="Cambria" w:hAnsi="Cambria"/>
      <w:b/>
      <w:bCs/>
      <w:i/>
      <w:iCs/>
      <w:sz w:val="28"/>
      <w:szCs w:val="28"/>
    </w:rPr>
  </w:style>
  <w:style w:type="paragraph" w:styleId="3">
    <w:name w:val="heading 3"/>
    <w:basedOn w:val="a1"/>
    <w:next w:val="a1"/>
    <w:link w:val="30"/>
    <w:unhideWhenUsed/>
    <w:qFormat/>
    <w:rsid w:val="001A6AE5"/>
    <w:pPr>
      <w:keepNext/>
      <w:spacing w:before="240" w:after="60"/>
      <w:outlineLvl w:val="2"/>
    </w:pPr>
    <w:rPr>
      <w:rFonts w:ascii="Cambria" w:hAnsi="Cambria"/>
      <w:b/>
      <w:bCs/>
      <w:sz w:val="26"/>
      <w:szCs w:val="26"/>
    </w:rPr>
  </w:style>
  <w:style w:type="paragraph" w:styleId="4">
    <w:name w:val="heading 4"/>
    <w:basedOn w:val="a1"/>
    <w:next w:val="a1"/>
    <w:link w:val="40"/>
    <w:semiHidden/>
    <w:unhideWhenUsed/>
    <w:qFormat/>
    <w:rsid w:val="003F07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semiHidden/>
    <w:rsid w:val="00C10495"/>
    <w:rPr>
      <w:rFonts w:ascii="Tahoma" w:hAnsi="Tahoma" w:cs="Tahoma"/>
      <w:sz w:val="16"/>
      <w:szCs w:val="16"/>
    </w:rPr>
  </w:style>
  <w:style w:type="paragraph" w:styleId="a6">
    <w:name w:val="footer"/>
    <w:basedOn w:val="a1"/>
    <w:link w:val="a7"/>
    <w:uiPriority w:val="99"/>
    <w:rsid w:val="000F05D5"/>
    <w:pPr>
      <w:tabs>
        <w:tab w:val="center" w:pos="4677"/>
        <w:tab w:val="right" w:pos="9355"/>
      </w:tabs>
    </w:pPr>
    <w:rPr>
      <w:rFonts w:eastAsia="SimSun"/>
      <w:lang w:eastAsia="zh-CN"/>
    </w:rPr>
  </w:style>
  <w:style w:type="numbering" w:styleId="111111">
    <w:name w:val="Outline List 2"/>
    <w:basedOn w:val="a4"/>
    <w:rsid w:val="00FC71A1"/>
    <w:pPr>
      <w:numPr>
        <w:numId w:val="1"/>
      </w:numPr>
    </w:pPr>
  </w:style>
  <w:style w:type="character" w:styleId="a8">
    <w:name w:val="Hyperlink"/>
    <w:uiPriority w:val="99"/>
    <w:rsid w:val="000F05D5"/>
    <w:rPr>
      <w:color w:val="0000FF"/>
      <w:u w:val="single"/>
    </w:rPr>
  </w:style>
  <w:style w:type="table" w:styleId="a9">
    <w:name w:val="Table Grid"/>
    <w:basedOn w:val="a3"/>
    <w:uiPriority w:val="39"/>
    <w:rsid w:val="000F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Нижний колонтитул Знак"/>
    <w:link w:val="a6"/>
    <w:uiPriority w:val="99"/>
    <w:rsid w:val="00AB06C4"/>
    <w:rPr>
      <w:rFonts w:eastAsia="SimSun"/>
      <w:sz w:val="24"/>
      <w:szCs w:val="24"/>
      <w:lang w:eastAsia="zh-CN"/>
    </w:rPr>
  </w:style>
  <w:style w:type="paragraph" w:styleId="aa">
    <w:name w:val="header"/>
    <w:basedOn w:val="a1"/>
    <w:link w:val="ab"/>
    <w:uiPriority w:val="99"/>
    <w:rsid w:val="00205A0A"/>
    <w:pPr>
      <w:tabs>
        <w:tab w:val="center" w:pos="4677"/>
        <w:tab w:val="right" w:pos="9355"/>
      </w:tabs>
    </w:pPr>
  </w:style>
  <w:style w:type="character" w:customStyle="1" w:styleId="ab">
    <w:name w:val="Верхний колонтитул Знак"/>
    <w:link w:val="aa"/>
    <w:uiPriority w:val="99"/>
    <w:rsid w:val="00205A0A"/>
    <w:rPr>
      <w:sz w:val="24"/>
      <w:szCs w:val="24"/>
    </w:rPr>
  </w:style>
  <w:style w:type="character" w:customStyle="1" w:styleId="10">
    <w:name w:val="Заголовок 1 Знак"/>
    <w:link w:val="1"/>
    <w:rsid w:val="00082BC5"/>
    <w:rPr>
      <w:b/>
      <w:bCs/>
      <w:sz w:val="32"/>
      <w:szCs w:val="24"/>
    </w:rPr>
  </w:style>
  <w:style w:type="paragraph" w:styleId="12">
    <w:name w:val="toc 1"/>
    <w:basedOn w:val="a1"/>
    <w:next w:val="a1"/>
    <w:autoRedefine/>
    <w:uiPriority w:val="39"/>
    <w:unhideWhenUsed/>
    <w:qFormat/>
    <w:rsid w:val="00410BF1"/>
    <w:pPr>
      <w:tabs>
        <w:tab w:val="left" w:pos="440"/>
        <w:tab w:val="right" w:leader="dot" w:pos="9345"/>
      </w:tabs>
      <w:spacing w:after="100" w:line="276" w:lineRule="auto"/>
      <w:jc w:val="both"/>
    </w:pPr>
    <w:rPr>
      <w:rFonts w:ascii="Arial" w:hAnsi="Arial"/>
      <w:noProof/>
      <w:sz w:val="22"/>
      <w:szCs w:val="22"/>
    </w:rPr>
  </w:style>
  <w:style w:type="paragraph" w:styleId="ac">
    <w:name w:val="TOC Heading"/>
    <w:basedOn w:val="1"/>
    <w:next w:val="a1"/>
    <w:uiPriority w:val="39"/>
    <w:unhideWhenUsed/>
    <w:qFormat/>
    <w:rsid w:val="00082BC5"/>
    <w:pPr>
      <w:spacing w:before="240" w:after="60"/>
      <w:jc w:val="left"/>
      <w:outlineLvl w:val="9"/>
    </w:pPr>
    <w:rPr>
      <w:rFonts w:ascii="Cambria" w:hAnsi="Cambria"/>
      <w:kern w:val="32"/>
      <w:szCs w:val="32"/>
      <w:lang w:eastAsia="zh-CN"/>
    </w:rPr>
  </w:style>
  <w:style w:type="paragraph" w:customStyle="1" w:styleId="Title1">
    <w:name w:val="Title1"/>
    <w:basedOn w:val="a1"/>
    <w:uiPriority w:val="99"/>
    <w:rsid w:val="00082BC5"/>
    <w:pPr>
      <w:jc w:val="center"/>
    </w:pPr>
    <w:rPr>
      <w:b/>
      <w:color w:val="000000"/>
      <w:szCs w:val="20"/>
    </w:rPr>
  </w:style>
  <w:style w:type="paragraph" w:customStyle="1" w:styleId="a0">
    <w:name w:val="Заголовок ВНД"/>
    <w:basedOn w:val="ad"/>
    <w:link w:val="ae"/>
    <w:qFormat/>
    <w:rsid w:val="00C758E4"/>
    <w:pPr>
      <w:keepNext/>
      <w:numPr>
        <w:numId w:val="2"/>
      </w:numPr>
      <w:autoSpaceDE w:val="0"/>
      <w:autoSpaceDN w:val="0"/>
      <w:adjustRightInd w:val="0"/>
      <w:spacing w:before="120" w:after="120"/>
      <w:contextualSpacing/>
      <w:jc w:val="center"/>
      <w:outlineLvl w:val="0"/>
    </w:pPr>
    <w:rPr>
      <w:b/>
    </w:rPr>
  </w:style>
  <w:style w:type="paragraph" w:customStyle="1" w:styleId="11">
    <w:name w:val="1.1 Текст Пункта"/>
    <w:basedOn w:val="a1"/>
    <w:link w:val="110"/>
    <w:qFormat/>
    <w:rsid w:val="00C758E4"/>
    <w:pPr>
      <w:numPr>
        <w:ilvl w:val="1"/>
        <w:numId w:val="2"/>
      </w:numPr>
      <w:autoSpaceDE w:val="0"/>
      <w:autoSpaceDN w:val="0"/>
      <w:adjustRightInd w:val="0"/>
      <w:spacing w:before="120" w:after="120"/>
      <w:contextualSpacing/>
      <w:jc w:val="both"/>
    </w:pPr>
  </w:style>
  <w:style w:type="paragraph" w:customStyle="1" w:styleId="-">
    <w:name w:val="- подпункт"/>
    <w:basedOn w:val="a1"/>
    <w:qFormat/>
    <w:rsid w:val="00C758E4"/>
    <w:pPr>
      <w:numPr>
        <w:numId w:val="3"/>
      </w:numPr>
    </w:pPr>
    <w:rPr>
      <w:rFonts w:eastAsia="Calibri"/>
      <w:szCs w:val="22"/>
      <w:lang w:eastAsia="en-US"/>
    </w:rPr>
  </w:style>
  <w:style w:type="character" w:customStyle="1" w:styleId="ae">
    <w:name w:val="Заголовок ВНД Знак"/>
    <w:link w:val="a0"/>
    <w:rsid w:val="00C758E4"/>
    <w:rPr>
      <w:b/>
      <w:sz w:val="24"/>
      <w:szCs w:val="24"/>
    </w:rPr>
  </w:style>
  <w:style w:type="character" w:customStyle="1" w:styleId="110">
    <w:name w:val="1.1 Текст Пункта Знак"/>
    <w:link w:val="11"/>
    <w:rsid w:val="00C758E4"/>
    <w:rPr>
      <w:sz w:val="24"/>
      <w:szCs w:val="24"/>
    </w:rPr>
  </w:style>
  <w:style w:type="paragraph" w:styleId="ad">
    <w:name w:val="List Paragraph"/>
    <w:aliases w:val="References"/>
    <w:basedOn w:val="a1"/>
    <w:link w:val="af"/>
    <w:uiPriority w:val="34"/>
    <w:qFormat/>
    <w:rsid w:val="00C758E4"/>
    <w:pPr>
      <w:ind w:left="708"/>
    </w:pPr>
  </w:style>
  <w:style w:type="character" w:customStyle="1" w:styleId="s1">
    <w:name w:val="s1"/>
    <w:rsid w:val="00C758E4"/>
    <w:rPr>
      <w:rFonts w:ascii="Times New Roman" w:hAnsi="Times New Roman" w:cs="Times New Roman" w:hint="default"/>
      <w:b/>
      <w:bCs/>
      <w:color w:val="000000"/>
    </w:rPr>
  </w:style>
  <w:style w:type="character" w:customStyle="1" w:styleId="s0">
    <w:name w:val="s0"/>
    <w:rsid w:val="00C758E4"/>
    <w:rPr>
      <w:rFonts w:ascii="Times New Roman" w:hAnsi="Times New Roman" w:cs="Times New Roman" w:hint="default"/>
      <w:b w:val="0"/>
      <w:bCs w:val="0"/>
      <w:i w:val="0"/>
      <w:iCs w:val="0"/>
      <w:color w:val="000000"/>
    </w:rPr>
  </w:style>
  <w:style w:type="paragraph" w:customStyle="1" w:styleId="BodyText1">
    <w:name w:val="Body Text1"/>
    <w:basedOn w:val="a1"/>
    <w:rsid w:val="00101529"/>
    <w:pPr>
      <w:jc w:val="both"/>
    </w:pPr>
    <w:rPr>
      <w:snapToGrid w:val="0"/>
      <w:szCs w:val="20"/>
    </w:rPr>
  </w:style>
  <w:style w:type="character" w:customStyle="1" w:styleId="af">
    <w:name w:val="Абзац списка Знак"/>
    <w:aliases w:val="References Знак"/>
    <w:link w:val="ad"/>
    <w:uiPriority w:val="34"/>
    <w:rsid w:val="00101529"/>
    <w:rPr>
      <w:sz w:val="24"/>
      <w:szCs w:val="24"/>
    </w:rPr>
  </w:style>
  <w:style w:type="paragraph" w:customStyle="1" w:styleId="1112">
    <w:name w:val="1.1.1 Текст подпункта 2уровень"/>
    <w:basedOn w:val="a1"/>
    <w:link w:val="11120"/>
    <w:autoRedefine/>
    <w:qFormat/>
    <w:rsid w:val="004D7918"/>
    <w:pPr>
      <w:widowControl w:val="0"/>
      <w:spacing w:beforeLines="100" w:before="240"/>
      <w:contextualSpacing/>
      <w:jc w:val="center"/>
    </w:pPr>
    <w:rPr>
      <w:b/>
      <w:iCs/>
    </w:rPr>
  </w:style>
  <w:style w:type="character" w:customStyle="1" w:styleId="11120">
    <w:name w:val="1.1.1 Текст подпункта 2уровень Знак"/>
    <w:link w:val="1112"/>
    <w:rsid w:val="004D7918"/>
    <w:rPr>
      <w:b/>
      <w:iCs/>
      <w:sz w:val="24"/>
      <w:szCs w:val="24"/>
    </w:rPr>
  </w:style>
  <w:style w:type="paragraph" w:customStyle="1" w:styleId="xl36">
    <w:name w:val="xl36"/>
    <w:basedOn w:val="a1"/>
    <w:rsid w:val="00101529"/>
    <w:pPr>
      <w:spacing w:before="100" w:beforeAutospacing="1" w:after="100" w:afterAutospacing="1"/>
    </w:pPr>
    <w:rPr>
      <w:rFonts w:ascii="Times New Roman CYR" w:eastAsia="Arial Unicode MS" w:hAnsi="Times New Roman CYR" w:cs="Times New Roman CYR"/>
      <w:b/>
      <w:bCs/>
    </w:rPr>
  </w:style>
  <w:style w:type="character" w:customStyle="1" w:styleId="20">
    <w:name w:val="Заголовок 2 Знак"/>
    <w:link w:val="2"/>
    <w:semiHidden/>
    <w:rsid w:val="0003487A"/>
    <w:rPr>
      <w:rFonts w:ascii="Cambria" w:eastAsia="Times New Roman" w:hAnsi="Cambria" w:cs="Times New Roman"/>
      <w:b/>
      <w:bCs/>
      <w:i/>
      <w:iCs/>
      <w:sz w:val="28"/>
      <w:szCs w:val="28"/>
    </w:rPr>
  </w:style>
  <w:style w:type="paragraph" w:styleId="af0">
    <w:name w:val="Normal (Web)"/>
    <w:aliases w:val="Обычный (Web),Обычный (веб)1,Обычный (веб)1 Знак Знак Зн,Обычный (веб)1 Знак Знак Зн Знак Знак Знак,Обычный (веб)1 Знак Знак Зн Знак Знак,Обычный (веб) Знак1,Обычный (веб) Знак Знак1,Обычный (веб) Знак Знак Знак,Знак Знак1 Знак Знак"/>
    <w:basedOn w:val="a1"/>
    <w:link w:val="af1"/>
    <w:uiPriority w:val="99"/>
    <w:qFormat/>
    <w:rsid w:val="0003487A"/>
    <w:pPr>
      <w:spacing w:before="100" w:beforeAutospacing="1" w:after="100" w:afterAutospacing="1"/>
    </w:pPr>
  </w:style>
  <w:style w:type="paragraph" w:customStyle="1" w:styleId="Default">
    <w:name w:val="Default"/>
    <w:rsid w:val="0003487A"/>
    <w:pPr>
      <w:autoSpaceDE w:val="0"/>
      <w:autoSpaceDN w:val="0"/>
      <w:adjustRightInd w:val="0"/>
    </w:pPr>
    <w:rPr>
      <w:rFonts w:ascii="Arial" w:hAnsi="Arial" w:cs="Arial"/>
      <w:color w:val="000000"/>
      <w:sz w:val="24"/>
      <w:szCs w:val="24"/>
    </w:rPr>
  </w:style>
  <w:style w:type="character" w:customStyle="1" w:styleId="30">
    <w:name w:val="Заголовок 3 Знак"/>
    <w:link w:val="3"/>
    <w:rsid w:val="001A6AE5"/>
    <w:rPr>
      <w:rFonts w:ascii="Cambria" w:eastAsia="Times New Roman" w:hAnsi="Cambria" w:cs="Times New Roman"/>
      <w:b/>
      <w:bCs/>
      <w:sz w:val="26"/>
      <w:szCs w:val="26"/>
    </w:rPr>
  </w:style>
  <w:style w:type="paragraph" w:styleId="af2">
    <w:name w:val="endnote text"/>
    <w:basedOn w:val="a1"/>
    <w:link w:val="af3"/>
    <w:rsid w:val="003570EE"/>
    <w:rPr>
      <w:sz w:val="20"/>
      <w:szCs w:val="20"/>
    </w:rPr>
  </w:style>
  <w:style w:type="character" w:customStyle="1" w:styleId="af3">
    <w:name w:val="Текст концевой сноски Знак"/>
    <w:basedOn w:val="a2"/>
    <w:link w:val="af2"/>
    <w:rsid w:val="003570EE"/>
  </w:style>
  <w:style w:type="character" w:styleId="af4">
    <w:name w:val="endnote reference"/>
    <w:basedOn w:val="a2"/>
    <w:rsid w:val="003570EE"/>
    <w:rPr>
      <w:vertAlign w:val="superscript"/>
    </w:rPr>
  </w:style>
  <w:style w:type="paragraph" w:styleId="af5">
    <w:name w:val="footnote text"/>
    <w:basedOn w:val="a1"/>
    <w:link w:val="af6"/>
    <w:uiPriority w:val="99"/>
    <w:rsid w:val="003570EE"/>
    <w:rPr>
      <w:sz w:val="20"/>
      <w:szCs w:val="20"/>
    </w:rPr>
  </w:style>
  <w:style w:type="character" w:customStyle="1" w:styleId="af6">
    <w:name w:val="Текст сноски Знак"/>
    <w:basedOn w:val="a2"/>
    <w:link w:val="af5"/>
    <w:uiPriority w:val="99"/>
    <w:rsid w:val="003570EE"/>
  </w:style>
  <w:style w:type="character" w:styleId="af7">
    <w:name w:val="footnote reference"/>
    <w:basedOn w:val="a2"/>
    <w:uiPriority w:val="99"/>
    <w:rsid w:val="003570EE"/>
    <w:rPr>
      <w:vertAlign w:val="superscript"/>
    </w:rPr>
  </w:style>
  <w:style w:type="paragraph" w:customStyle="1" w:styleId="13">
    <w:name w:val="Основной текст1"/>
    <w:basedOn w:val="a1"/>
    <w:rsid w:val="00E842CE"/>
    <w:pPr>
      <w:spacing w:before="120" w:after="120"/>
    </w:pPr>
    <w:rPr>
      <w:sz w:val="22"/>
      <w:szCs w:val="20"/>
      <w:lang w:val="en-US" w:eastAsia="en-US"/>
    </w:rPr>
  </w:style>
  <w:style w:type="paragraph" w:customStyle="1" w:styleId="columnhead">
    <w:name w:val="column head"/>
    <w:rsid w:val="00E842CE"/>
    <w:pPr>
      <w:spacing w:before="120" w:after="120"/>
      <w:jc w:val="center"/>
    </w:pPr>
    <w:rPr>
      <w:rFonts w:ascii="Arial" w:hAnsi="Arial"/>
      <w:b/>
      <w:lang w:val="en-US" w:eastAsia="en-US"/>
    </w:rPr>
  </w:style>
  <w:style w:type="paragraph" w:customStyle="1" w:styleId="response">
    <w:name w:val="response"/>
    <w:basedOn w:val="a1"/>
    <w:rsid w:val="00E842CE"/>
    <w:pPr>
      <w:spacing w:before="120" w:after="120"/>
    </w:pPr>
    <w:rPr>
      <w:sz w:val="20"/>
      <w:szCs w:val="20"/>
      <w:lang w:val="en-US" w:eastAsia="en-US"/>
    </w:rPr>
  </w:style>
  <w:style w:type="paragraph" w:customStyle="1" w:styleId="columnlist">
    <w:name w:val="column list"/>
    <w:basedOn w:val="a1"/>
    <w:rsid w:val="00E842CE"/>
    <w:pPr>
      <w:spacing w:before="120" w:after="120"/>
      <w:ind w:left="480" w:hanging="480"/>
    </w:pPr>
    <w:rPr>
      <w:rFonts w:ascii="Arial" w:hAnsi="Arial"/>
      <w:b/>
      <w:caps/>
      <w:sz w:val="20"/>
      <w:szCs w:val="20"/>
      <w:lang w:val="en-US" w:eastAsia="en-US"/>
    </w:rPr>
  </w:style>
  <w:style w:type="table" w:customStyle="1" w:styleId="TableNormal1">
    <w:name w:val="Table Normal1"/>
    <w:uiPriority w:val="2"/>
    <w:semiHidden/>
    <w:unhideWhenUsed/>
    <w:qFormat/>
    <w:rsid w:val="009207F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ConsPlusNormal">
    <w:name w:val="ConsPlusNormal"/>
    <w:rsid w:val="00C832A4"/>
    <w:pPr>
      <w:widowControl w:val="0"/>
      <w:autoSpaceDE w:val="0"/>
      <w:autoSpaceDN w:val="0"/>
      <w:adjustRightInd w:val="0"/>
    </w:pPr>
    <w:rPr>
      <w:rFonts w:ascii="Arial" w:hAnsi="Arial" w:cs="Arial"/>
    </w:rPr>
  </w:style>
  <w:style w:type="table" w:styleId="-5">
    <w:name w:val="Colorful Grid Accent 5"/>
    <w:basedOn w:val="a3"/>
    <w:uiPriority w:val="73"/>
    <w:rsid w:val="00DE794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2-5">
    <w:name w:val="Medium Grid 2 Accent 5"/>
    <w:basedOn w:val="a3"/>
    <w:uiPriority w:val="68"/>
    <w:rsid w:val="00DE794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styleId="af8">
    <w:name w:val="Emphasis"/>
    <w:basedOn w:val="a2"/>
    <w:qFormat/>
    <w:rsid w:val="007067ED"/>
    <w:rPr>
      <w:i/>
      <w:iCs/>
    </w:rPr>
  </w:style>
  <w:style w:type="character" w:styleId="af9">
    <w:name w:val="annotation reference"/>
    <w:basedOn w:val="a2"/>
    <w:rsid w:val="00441E88"/>
    <w:rPr>
      <w:sz w:val="16"/>
      <w:szCs w:val="16"/>
    </w:rPr>
  </w:style>
  <w:style w:type="paragraph" w:styleId="afa">
    <w:name w:val="annotation text"/>
    <w:basedOn w:val="a1"/>
    <w:link w:val="afb"/>
    <w:rsid w:val="00441E88"/>
    <w:rPr>
      <w:sz w:val="20"/>
      <w:szCs w:val="20"/>
    </w:rPr>
  </w:style>
  <w:style w:type="character" w:customStyle="1" w:styleId="afb">
    <w:name w:val="Текст примечания Знак"/>
    <w:basedOn w:val="a2"/>
    <w:link w:val="afa"/>
    <w:rsid w:val="00441E88"/>
  </w:style>
  <w:style w:type="paragraph" w:styleId="afc">
    <w:name w:val="annotation subject"/>
    <w:basedOn w:val="afa"/>
    <w:next w:val="afa"/>
    <w:link w:val="afd"/>
    <w:rsid w:val="00441E88"/>
    <w:rPr>
      <w:b/>
      <w:bCs/>
    </w:rPr>
  </w:style>
  <w:style w:type="character" w:customStyle="1" w:styleId="afd">
    <w:name w:val="Тема примечания Знак"/>
    <w:basedOn w:val="afb"/>
    <w:link w:val="afc"/>
    <w:rsid w:val="00441E88"/>
    <w:rPr>
      <w:b/>
      <w:bCs/>
    </w:rPr>
  </w:style>
  <w:style w:type="character" w:styleId="afe">
    <w:name w:val="Strong"/>
    <w:basedOn w:val="a2"/>
    <w:uiPriority w:val="22"/>
    <w:qFormat/>
    <w:rsid w:val="00A95B30"/>
    <w:rPr>
      <w:b/>
      <w:bCs/>
    </w:rPr>
  </w:style>
  <w:style w:type="paragraph" w:styleId="aff">
    <w:name w:val="Revision"/>
    <w:hidden/>
    <w:uiPriority w:val="99"/>
    <w:semiHidden/>
    <w:rsid w:val="00617604"/>
    <w:rPr>
      <w:sz w:val="24"/>
      <w:szCs w:val="24"/>
    </w:rPr>
  </w:style>
  <w:style w:type="paragraph" w:styleId="a">
    <w:name w:val="List"/>
    <w:basedOn w:val="a1"/>
    <w:rsid w:val="00CC79B1"/>
    <w:pPr>
      <w:numPr>
        <w:numId w:val="5"/>
      </w:numPr>
    </w:pPr>
  </w:style>
  <w:style w:type="paragraph" w:styleId="aff0">
    <w:name w:val="Title"/>
    <w:basedOn w:val="a1"/>
    <w:next w:val="a1"/>
    <w:link w:val="aff1"/>
    <w:uiPriority w:val="10"/>
    <w:qFormat/>
    <w:rsid w:val="003A2D62"/>
    <w:pPr>
      <w:spacing w:before="180" w:after="120"/>
      <w:contextualSpacing/>
      <w:jc w:val="center"/>
    </w:pPr>
    <w:rPr>
      <w:rFonts w:ascii="Arial" w:eastAsiaTheme="majorEastAsia" w:hAnsi="Arial" w:cstheme="majorBidi"/>
      <w:b/>
      <w:color w:val="4F81BD" w:themeColor="accent1"/>
      <w:spacing w:val="5"/>
      <w:kern w:val="28"/>
      <w:sz w:val="36"/>
      <w:szCs w:val="52"/>
      <w:lang w:eastAsia="en-US"/>
    </w:rPr>
  </w:style>
  <w:style w:type="character" w:customStyle="1" w:styleId="aff1">
    <w:name w:val="Заголовок Знак"/>
    <w:basedOn w:val="a2"/>
    <w:link w:val="aff0"/>
    <w:uiPriority w:val="10"/>
    <w:rsid w:val="003A2D62"/>
    <w:rPr>
      <w:rFonts w:ascii="Arial" w:eastAsiaTheme="majorEastAsia" w:hAnsi="Arial" w:cstheme="majorBidi"/>
      <w:b/>
      <w:color w:val="4F81BD" w:themeColor="accent1"/>
      <w:spacing w:val="5"/>
      <w:kern w:val="28"/>
      <w:sz w:val="36"/>
      <w:szCs w:val="52"/>
      <w:lang w:eastAsia="en-US"/>
    </w:rPr>
  </w:style>
  <w:style w:type="table" w:customStyle="1" w:styleId="14">
    <w:name w:val="Сетка таблицы светлая1"/>
    <w:basedOn w:val="a3"/>
    <w:uiPriority w:val="40"/>
    <w:rsid w:val="003A2D6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40">
    <w:name w:val="Заголовок 4 Знак"/>
    <w:basedOn w:val="a2"/>
    <w:link w:val="4"/>
    <w:semiHidden/>
    <w:rsid w:val="003F073C"/>
    <w:rPr>
      <w:rFonts w:asciiTheme="majorHAnsi" w:eastAsiaTheme="majorEastAsia" w:hAnsiTheme="majorHAnsi" w:cstheme="majorBidi"/>
      <w:i/>
      <w:iCs/>
      <w:color w:val="365F91" w:themeColor="accent1" w:themeShade="BF"/>
      <w:sz w:val="24"/>
      <w:szCs w:val="24"/>
    </w:rPr>
  </w:style>
  <w:style w:type="paragraph" w:styleId="31">
    <w:name w:val="toc 3"/>
    <w:basedOn w:val="a1"/>
    <w:next w:val="a1"/>
    <w:autoRedefine/>
    <w:uiPriority w:val="39"/>
    <w:unhideWhenUsed/>
    <w:rsid w:val="00AE5F1E"/>
    <w:pPr>
      <w:spacing w:after="100"/>
      <w:ind w:left="480"/>
    </w:pPr>
  </w:style>
  <w:style w:type="character" w:styleId="aff2">
    <w:name w:val="Intense Emphasis"/>
    <w:basedOn w:val="a2"/>
    <w:uiPriority w:val="21"/>
    <w:qFormat/>
    <w:rsid w:val="00CD3A04"/>
    <w:rPr>
      <w:b/>
      <w:bCs/>
      <w:i/>
      <w:iCs/>
      <w:color w:val="4F81BD" w:themeColor="accent1"/>
    </w:rPr>
  </w:style>
  <w:style w:type="paragraph" w:customStyle="1" w:styleId="Style12">
    <w:name w:val="Style12"/>
    <w:basedOn w:val="a1"/>
    <w:uiPriority w:val="99"/>
    <w:rsid w:val="0073160C"/>
    <w:pPr>
      <w:widowControl w:val="0"/>
      <w:autoSpaceDE w:val="0"/>
      <w:autoSpaceDN w:val="0"/>
      <w:adjustRightInd w:val="0"/>
      <w:spacing w:line="275" w:lineRule="exact"/>
      <w:ind w:firstLine="542"/>
      <w:jc w:val="both"/>
    </w:pPr>
  </w:style>
  <w:style w:type="character" w:styleId="aff3">
    <w:name w:val="page number"/>
    <w:basedOn w:val="a2"/>
    <w:uiPriority w:val="99"/>
    <w:rsid w:val="00EA17BC"/>
  </w:style>
  <w:style w:type="character" w:customStyle="1" w:styleId="af1">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Обычный (веб) Знак1 Знак,Обычный (веб) Знак Знак1 Знак"/>
    <w:link w:val="af0"/>
    <w:uiPriority w:val="99"/>
    <w:rsid w:val="000B0D4B"/>
    <w:rPr>
      <w:sz w:val="24"/>
      <w:szCs w:val="24"/>
    </w:rPr>
  </w:style>
  <w:style w:type="paragraph" w:styleId="21">
    <w:name w:val="toc 2"/>
    <w:basedOn w:val="a1"/>
    <w:next w:val="a1"/>
    <w:autoRedefine/>
    <w:uiPriority w:val="39"/>
    <w:unhideWhenUsed/>
    <w:rsid w:val="0094061B"/>
    <w:pPr>
      <w:spacing w:after="100" w:line="259" w:lineRule="auto"/>
      <w:ind w:left="220"/>
    </w:pPr>
    <w:rPr>
      <w:rFonts w:asciiTheme="minorHAnsi" w:eastAsiaTheme="minorEastAsia" w:hAnsiTheme="minorHAnsi" w:cstheme="minorBidi"/>
      <w:sz w:val="22"/>
      <w:szCs w:val="22"/>
    </w:rPr>
  </w:style>
  <w:style w:type="paragraph" w:styleId="41">
    <w:name w:val="toc 4"/>
    <w:basedOn w:val="a1"/>
    <w:next w:val="a1"/>
    <w:autoRedefine/>
    <w:uiPriority w:val="39"/>
    <w:unhideWhenUsed/>
    <w:rsid w:val="0094061B"/>
    <w:pPr>
      <w:spacing w:after="100" w:line="259" w:lineRule="auto"/>
      <w:ind w:left="660"/>
    </w:pPr>
    <w:rPr>
      <w:rFonts w:asciiTheme="minorHAnsi" w:eastAsiaTheme="minorEastAsia" w:hAnsiTheme="minorHAnsi" w:cstheme="minorBidi"/>
      <w:sz w:val="22"/>
      <w:szCs w:val="22"/>
    </w:rPr>
  </w:style>
  <w:style w:type="paragraph" w:styleId="5">
    <w:name w:val="toc 5"/>
    <w:basedOn w:val="a1"/>
    <w:next w:val="a1"/>
    <w:autoRedefine/>
    <w:uiPriority w:val="39"/>
    <w:unhideWhenUsed/>
    <w:rsid w:val="0094061B"/>
    <w:pPr>
      <w:spacing w:after="100" w:line="259" w:lineRule="auto"/>
      <w:ind w:left="880"/>
    </w:pPr>
    <w:rPr>
      <w:rFonts w:asciiTheme="minorHAnsi" w:eastAsiaTheme="minorEastAsia" w:hAnsiTheme="minorHAnsi" w:cstheme="minorBidi"/>
      <w:sz w:val="22"/>
      <w:szCs w:val="22"/>
    </w:rPr>
  </w:style>
  <w:style w:type="paragraph" w:styleId="6">
    <w:name w:val="toc 6"/>
    <w:basedOn w:val="a1"/>
    <w:next w:val="a1"/>
    <w:autoRedefine/>
    <w:uiPriority w:val="39"/>
    <w:unhideWhenUsed/>
    <w:rsid w:val="0094061B"/>
    <w:pPr>
      <w:spacing w:after="100" w:line="259" w:lineRule="auto"/>
      <w:ind w:left="1100"/>
    </w:pPr>
    <w:rPr>
      <w:rFonts w:asciiTheme="minorHAnsi" w:eastAsiaTheme="minorEastAsia" w:hAnsiTheme="minorHAnsi" w:cstheme="minorBidi"/>
      <w:sz w:val="22"/>
      <w:szCs w:val="22"/>
    </w:rPr>
  </w:style>
  <w:style w:type="paragraph" w:styleId="7">
    <w:name w:val="toc 7"/>
    <w:basedOn w:val="a1"/>
    <w:next w:val="a1"/>
    <w:autoRedefine/>
    <w:uiPriority w:val="39"/>
    <w:unhideWhenUsed/>
    <w:rsid w:val="0094061B"/>
    <w:pPr>
      <w:spacing w:after="100" w:line="259" w:lineRule="auto"/>
      <w:ind w:left="1320"/>
    </w:pPr>
    <w:rPr>
      <w:rFonts w:asciiTheme="minorHAnsi" w:eastAsiaTheme="minorEastAsia" w:hAnsiTheme="minorHAnsi" w:cstheme="minorBidi"/>
      <w:sz w:val="22"/>
      <w:szCs w:val="22"/>
    </w:rPr>
  </w:style>
  <w:style w:type="paragraph" w:styleId="8">
    <w:name w:val="toc 8"/>
    <w:basedOn w:val="a1"/>
    <w:next w:val="a1"/>
    <w:autoRedefine/>
    <w:uiPriority w:val="39"/>
    <w:unhideWhenUsed/>
    <w:rsid w:val="0094061B"/>
    <w:pPr>
      <w:spacing w:after="100" w:line="259" w:lineRule="auto"/>
      <w:ind w:left="1540"/>
    </w:pPr>
    <w:rPr>
      <w:rFonts w:asciiTheme="minorHAnsi" w:eastAsiaTheme="minorEastAsia" w:hAnsiTheme="minorHAnsi" w:cstheme="minorBidi"/>
      <w:sz w:val="22"/>
      <w:szCs w:val="22"/>
    </w:rPr>
  </w:style>
  <w:style w:type="paragraph" w:styleId="9">
    <w:name w:val="toc 9"/>
    <w:basedOn w:val="a1"/>
    <w:next w:val="a1"/>
    <w:autoRedefine/>
    <w:uiPriority w:val="39"/>
    <w:unhideWhenUsed/>
    <w:rsid w:val="0094061B"/>
    <w:pPr>
      <w:spacing w:after="100" w:line="259" w:lineRule="auto"/>
      <w:ind w:left="1760"/>
    </w:pPr>
    <w:rPr>
      <w:rFonts w:asciiTheme="minorHAnsi" w:eastAsiaTheme="minorEastAsia" w:hAnsiTheme="minorHAnsi" w:cstheme="minorBidi"/>
      <w:sz w:val="22"/>
      <w:szCs w:val="22"/>
    </w:rPr>
  </w:style>
  <w:style w:type="paragraph" w:customStyle="1" w:styleId="pdq2pgselectionanchorcontainer">
    <w:name w:val="pdq2pg_selectionanchorcontainer"/>
    <w:basedOn w:val="a1"/>
    <w:rsid w:val="008F57C8"/>
    <w:pPr>
      <w:spacing w:before="100" w:beforeAutospacing="1" w:after="100" w:afterAutospacing="1"/>
    </w:pPr>
  </w:style>
  <w:style w:type="paragraph" w:styleId="aff4">
    <w:name w:val="Body Text"/>
    <w:basedOn w:val="a1"/>
    <w:link w:val="15"/>
    <w:rsid w:val="009C19BB"/>
    <w:pPr>
      <w:widowControl w:val="0"/>
      <w:autoSpaceDE w:val="0"/>
      <w:autoSpaceDN w:val="0"/>
      <w:adjustRightInd w:val="0"/>
      <w:spacing w:before="40" w:after="120" w:line="260" w:lineRule="auto"/>
      <w:ind w:firstLine="1720"/>
      <w:jc w:val="both"/>
    </w:pPr>
    <w:rPr>
      <w:sz w:val="28"/>
      <w:szCs w:val="28"/>
    </w:rPr>
  </w:style>
  <w:style w:type="character" w:customStyle="1" w:styleId="aff5">
    <w:name w:val="Основной текст Знак"/>
    <w:basedOn w:val="a2"/>
    <w:semiHidden/>
    <w:rsid w:val="009C19BB"/>
    <w:rPr>
      <w:sz w:val="24"/>
      <w:szCs w:val="24"/>
    </w:rPr>
  </w:style>
  <w:style w:type="character" w:customStyle="1" w:styleId="15">
    <w:name w:val="Основной текст Знак1"/>
    <w:basedOn w:val="a2"/>
    <w:link w:val="aff4"/>
    <w:rsid w:val="009C19BB"/>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9258">
      <w:bodyDiv w:val="1"/>
      <w:marLeft w:val="0"/>
      <w:marRight w:val="0"/>
      <w:marTop w:val="0"/>
      <w:marBottom w:val="0"/>
      <w:divBdr>
        <w:top w:val="none" w:sz="0" w:space="0" w:color="auto"/>
        <w:left w:val="none" w:sz="0" w:space="0" w:color="auto"/>
        <w:bottom w:val="none" w:sz="0" w:space="0" w:color="auto"/>
        <w:right w:val="none" w:sz="0" w:space="0" w:color="auto"/>
      </w:divBdr>
    </w:div>
    <w:div w:id="188643708">
      <w:bodyDiv w:val="1"/>
      <w:marLeft w:val="0"/>
      <w:marRight w:val="0"/>
      <w:marTop w:val="0"/>
      <w:marBottom w:val="0"/>
      <w:divBdr>
        <w:top w:val="none" w:sz="0" w:space="0" w:color="auto"/>
        <w:left w:val="none" w:sz="0" w:space="0" w:color="auto"/>
        <w:bottom w:val="none" w:sz="0" w:space="0" w:color="auto"/>
        <w:right w:val="none" w:sz="0" w:space="0" w:color="auto"/>
      </w:divBdr>
    </w:div>
    <w:div w:id="245920059">
      <w:bodyDiv w:val="1"/>
      <w:marLeft w:val="0"/>
      <w:marRight w:val="0"/>
      <w:marTop w:val="0"/>
      <w:marBottom w:val="0"/>
      <w:divBdr>
        <w:top w:val="none" w:sz="0" w:space="0" w:color="auto"/>
        <w:left w:val="none" w:sz="0" w:space="0" w:color="auto"/>
        <w:bottom w:val="none" w:sz="0" w:space="0" w:color="auto"/>
        <w:right w:val="none" w:sz="0" w:space="0" w:color="auto"/>
      </w:divBdr>
    </w:div>
    <w:div w:id="318048236">
      <w:bodyDiv w:val="1"/>
      <w:marLeft w:val="0"/>
      <w:marRight w:val="0"/>
      <w:marTop w:val="0"/>
      <w:marBottom w:val="0"/>
      <w:divBdr>
        <w:top w:val="none" w:sz="0" w:space="0" w:color="auto"/>
        <w:left w:val="none" w:sz="0" w:space="0" w:color="auto"/>
        <w:bottom w:val="none" w:sz="0" w:space="0" w:color="auto"/>
        <w:right w:val="none" w:sz="0" w:space="0" w:color="auto"/>
      </w:divBdr>
    </w:div>
    <w:div w:id="318315811">
      <w:bodyDiv w:val="1"/>
      <w:marLeft w:val="0"/>
      <w:marRight w:val="0"/>
      <w:marTop w:val="0"/>
      <w:marBottom w:val="0"/>
      <w:divBdr>
        <w:top w:val="none" w:sz="0" w:space="0" w:color="auto"/>
        <w:left w:val="none" w:sz="0" w:space="0" w:color="auto"/>
        <w:bottom w:val="none" w:sz="0" w:space="0" w:color="auto"/>
        <w:right w:val="none" w:sz="0" w:space="0" w:color="auto"/>
      </w:divBdr>
    </w:div>
    <w:div w:id="389889717">
      <w:bodyDiv w:val="1"/>
      <w:marLeft w:val="0"/>
      <w:marRight w:val="0"/>
      <w:marTop w:val="0"/>
      <w:marBottom w:val="0"/>
      <w:divBdr>
        <w:top w:val="none" w:sz="0" w:space="0" w:color="auto"/>
        <w:left w:val="none" w:sz="0" w:space="0" w:color="auto"/>
        <w:bottom w:val="none" w:sz="0" w:space="0" w:color="auto"/>
        <w:right w:val="none" w:sz="0" w:space="0" w:color="auto"/>
      </w:divBdr>
    </w:div>
    <w:div w:id="437876696">
      <w:bodyDiv w:val="1"/>
      <w:marLeft w:val="0"/>
      <w:marRight w:val="0"/>
      <w:marTop w:val="0"/>
      <w:marBottom w:val="0"/>
      <w:divBdr>
        <w:top w:val="none" w:sz="0" w:space="0" w:color="auto"/>
        <w:left w:val="none" w:sz="0" w:space="0" w:color="auto"/>
        <w:bottom w:val="none" w:sz="0" w:space="0" w:color="auto"/>
        <w:right w:val="none" w:sz="0" w:space="0" w:color="auto"/>
      </w:divBdr>
    </w:div>
    <w:div w:id="634257580">
      <w:bodyDiv w:val="1"/>
      <w:marLeft w:val="0"/>
      <w:marRight w:val="0"/>
      <w:marTop w:val="0"/>
      <w:marBottom w:val="0"/>
      <w:divBdr>
        <w:top w:val="none" w:sz="0" w:space="0" w:color="auto"/>
        <w:left w:val="none" w:sz="0" w:space="0" w:color="auto"/>
        <w:bottom w:val="none" w:sz="0" w:space="0" w:color="auto"/>
        <w:right w:val="none" w:sz="0" w:space="0" w:color="auto"/>
      </w:divBdr>
    </w:div>
    <w:div w:id="741368918">
      <w:bodyDiv w:val="1"/>
      <w:marLeft w:val="0"/>
      <w:marRight w:val="0"/>
      <w:marTop w:val="0"/>
      <w:marBottom w:val="0"/>
      <w:divBdr>
        <w:top w:val="none" w:sz="0" w:space="0" w:color="auto"/>
        <w:left w:val="none" w:sz="0" w:space="0" w:color="auto"/>
        <w:bottom w:val="none" w:sz="0" w:space="0" w:color="auto"/>
        <w:right w:val="none" w:sz="0" w:space="0" w:color="auto"/>
      </w:divBdr>
    </w:div>
    <w:div w:id="780035036">
      <w:bodyDiv w:val="1"/>
      <w:marLeft w:val="0"/>
      <w:marRight w:val="0"/>
      <w:marTop w:val="0"/>
      <w:marBottom w:val="0"/>
      <w:divBdr>
        <w:top w:val="none" w:sz="0" w:space="0" w:color="auto"/>
        <w:left w:val="none" w:sz="0" w:space="0" w:color="auto"/>
        <w:bottom w:val="none" w:sz="0" w:space="0" w:color="auto"/>
        <w:right w:val="none" w:sz="0" w:space="0" w:color="auto"/>
      </w:divBdr>
    </w:div>
    <w:div w:id="786241406">
      <w:bodyDiv w:val="1"/>
      <w:marLeft w:val="0"/>
      <w:marRight w:val="0"/>
      <w:marTop w:val="0"/>
      <w:marBottom w:val="0"/>
      <w:divBdr>
        <w:top w:val="none" w:sz="0" w:space="0" w:color="auto"/>
        <w:left w:val="none" w:sz="0" w:space="0" w:color="auto"/>
        <w:bottom w:val="none" w:sz="0" w:space="0" w:color="auto"/>
        <w:right w:val="none" w:sz="0" w:space="0" w:color="auto"/>
      </w:divBdr>
    </w:div>
    <w:div w:id="791634065">
      <w:bodyDiv w:val="1"/>
      <w:marLeft w:val="0"/>
      <w:marRight w:val="0"/>
      <w:marTop w:val="0"/>
      <w:marBottom w:val="0"/>
      <w:divBdr>
        <w:top w:val="none" w:sz="0" w:space="0" w:color="auto"/>
        <w:left w:val="none" w:sz="0" w:space="0" w:color="auto"/>
        <w:bottom w:val="none" w:sz="0" w:space="0" w:color="auto"/>
        <w:right w:val="none" w:sz="0" w:space="0" w:color="auto"/>
      </w:divBdr>
    </w:div>
    <w:div w:id="797339760">
      <w:bodyDiv w:val="1"/>
      <w:marLeft w:val="0"/>
      <w:marRight w:val="0"/>
      <w:marTop w:val="0"/>
      <w:marBottom w:val="0"/>
      <w:divBdr>
        <w:top w:val="none" w:sz="0" w:space="0" w:color="auto"/>
        <w:left w:val="none" w:sz="0" w:space="0" w:color="auto"/>
        <w:bottom w:val="none" w:sz="0" w:space="0" w:color="auto"/>
        <w:right w:val="none" w:sz="0" w:space="0" w:color="auto"/>
      </w:divBdr>
    </w:div>
    <w:div w:id="847257849">
      <w:bodyDiv w:val="1"/>
      <w:marLeft w:val="0"/>
      <w:marRight w:val="0"/>
      <w:marTop w:val="0"/>
      <w:marBottom w:val="0"/>
      <w:divBdr>
        <w:top w:val="none" w:sz="0" w:space="0" w:color="auto"/>
        <w:left w:val="none" w:sz="0" w:space="0" w:color="auto"/>
        <w:bottom w:val="none" w:sz="0" w:space="0" w:color="auto"/>
        <w:right w:val="none" w:sz="0" w:space="0" w:color="auto"/>
      </w:divBdr>
    </w:div>
    <w:div w:id="882595852">
      <w:bodyDiv w:val="1"/>
      <w:marLeft w:val="0"/>
      <w:marRight w:val="0"/>
      <w:marTop w:val="0"/>
      <w:marBottom w:val="0"/>
      <w:divBdr>
        <w:top w:val="none" w:sz="0" w:space="0" w:color="auto"/>
        <w:left w:val="none" w:sz="0" w:space="0" w:color="auto"/>
        <w:bottom w:val="none" w:sz="0" w:space="0" w:color="auto"/>
        <w:right w:val="none" w:sz="0" w:space="0" w:color="auto"/>
      </w:divBdr>
    </w:div>
    <w:div w:id="942570313">
      <w:bodyDiv w:val="1"/>
      <w:marLeft w:val="0"/>
      <w:marRight w:val="0"/>
      <w:marTop w:val="0"/>
      <w:marBottom w:val="0"/>
      <w:divBdr>
        <w:top w:val="none" w:sz="0" w:space="0" w:color="auto"/>
        <w:left w:val="none" w:sz="0" w:space="0" w:color="auto"/>
        <w:bottom w:val="none" w:sz="0" w:space="0" w:color="auto"/>
        <w:right w:val="none" w:sz="0" w:space="0" w:color="auto"/>
      </w:divBdr>
    </w:div>
    <w:div w:id="951547241">
      <w:bodyDiv w:val="1"/>
      <w:marLeft w:val="0"/>
      <w:marRight w:val="0"/>
      <w:marTop w:val="0"/>
      <w:marBottom w:val="0"/>
      <w:divBdr>
        <w:top w:val="none" w:sz="0" w:space="0" w:color="auto"/>
        <w:left w:val="none" w:sz="0" w:space="0" w:color="auto"/>
        <w:bottom w:val="none" w:sz="0" w:space="0" w:color="auto"/>
        <w:right w:val="none" w:sz="0" w:space="0" w:color="auto"/>
      </w:divBdr>
    </w:div>
    <w:div w:id="980187018">
      <w:bodyDiv w:val="1"/>
      <w:marLeft w:val="0"/>
      <w:marRight w:val="0"/>
      <w:marTop w:val="0"/>
      <w:marBottom w:val="0"/>
      <w:divBdr>
        <w:top w:val="none" w:sz="0" w:space="0" w:color="auto"/>
        <w:left w:val="none" w:sz="0" w:space="0" w:color="auto"/>
        <w:bottom w:val="none" w:sz="0" w:space="0" w:color="auto"/>
        <w:right w:val="none" w:sz="0" w:space="0" w:color="auto"/>
      </w:divBdr>
    </w:div>
    <w:div w:id="1092973539">
      <w:bodyDiv w:val="1"/>
      <w:marLeft w:val="0"/>
      <w:marRight w:val="0"/>
      <w:marTop w:val="0"/>
      <w:marBottom w:val="0"/>
      <w:divBdr>
        <w:top w:val="none" w:sz="0" w:space="0" w:color="auto"/>
        <w:left w:val="none" w:sz="0" w:space="0" w:color="auto"/>
        <w:bottom w:val="none" w:sz="0" w:space="0" w:color="auto"/>
        <w:right w:val="none" w:sz="0" w:space="0" w:color="auto"/>
      </w:divBdr>
    </w:div>
    <w:div w:id="1159229029">
      <w:bodyDiv w:val="1"/>
      <w:marLeft w:val="0"/>
      <w:marRight w:val="0"/>
      <w:marTop w:val="0"/>
      <w:marBottom w:val="0"/>
      <w:divBdr>
        <w:top w:val="none" w:sz="0" w:space="0" w:color="auto"/>
        <w:left w:val="none" w:sz="0" w:space="0" w:color="auto"/>
        <w:bottom w:val="none" w:sz="0" w:space="0" w:color="auto"/>
        <w:right w:val="none" w:sz="0" w:space="0" w:color="auto"/>
      </w:divBdr>
    </w:div>
    <w:div w:id="1196381517">
      <w:bodyDiv w:val="1"/>
      <w:marLeft w:val="0"/>
      <w:marRight w:val="0"/>
      <w:marTop w:val="0"/>
      <w:marBottom w:val="0"/>
      <w:divBdr>
        <w:top w:val="none" w:sz="0" w:space="0" w:color="auto"/>
        <w:left w:val="none" w:sz="0" w:space="0" w:color="auto"/>
        <w:bottom w:val="none" w:sz="0" w:space="0" w:color="auto"/>
        <w:right w:val="none" w:sz="0" w:space="0" w:color="auto"/>
      </w:divBdr>
    </w:div>
    <w:div w:id="1286935096">
      <w:bodyDiv w:val="1"/>
      <w:marLeft w:val="0"/>
      <w:marRight w:val="0"/>
      <w:marTop w:val="0"/>
      <w:marBottom w:val="0"/>
      <w:divBdr>
        <w:top w:val="none" w:sz="0" w:space="0" w:color="auto"/>
        <w:left w:val="none" w:sz="0" w:space="0" w:color="auto"/>
        <w:bottom w:val="none" w:sz="0" w:space="0" w:color="auto"/>
        <w:right w:val="none" w:sz="0" w:space="0" w:color="auto"/>
      </w:divBdr>
    </w:div>
    <w:div w:id="1370489361">
      <w:bodyDiv w:val="1"/>
      <w:marLeft w:val="0"/>
      <w:marRight w:val="0"/>
      <w:marTop w:val="0"/>
      <w:marBottom w:val="0"/>
      <w:divBdr>
        <w:top w:val="none" w:sz="0" w:space="0" w:color="auto"/>
        <w:left w:val="none" w:sz="0" w:space="0" w:color="auto"/>
        <w:bottom w:val="none" w:sz="0" w:space="0" w:color="auto"/>
        <w:right w:val="none" w:sz="0" w:space="0" w:color="auto"/>
      </w:divBdr>
    </w:div>
    <w:div w:id="1552889002">
      <w:bodyDiv w:val="1"/>
      <w:marLeft w:val="0"/>
      <w:marRight w:val="0"/>
      <w:marTop w:val="0"/>
      <w:marBottom w:val="0"/>
      <w:divBdr>
        <w:top w:val="none" w:sz="0" w:space="0" w:color="auto"/>
        <w:left w:val="none" w:sz="0" w:space="0" w:color="auto"/>
        <w:bottom w:val="none" w:sz="0" w:space="0" w:color="auto"/>
        <w:right w:val="none" w:sz="0" w:space="0" w:color="auto"/>
      </w:divBdr>
    </w:div>
    <w:div w:id="1697804584">
      <w:bodyDiv w:val="1"/>
      <w:marLeft w:val="0"/>
      <w:marRight w:val="0"/>
      <w:marTop w:val="0"/>
      <w:marBottom w:val="0"/>
      <w:divBdr>
        <w:top w:val="none" w:sz="0" w:space="0" w:color="auto"/>
        <w:left w:val="none" w:sz="0" w:space="0" w:color="auto"/>
        <w:bottom w:val="none" w:sz="0" w:space="0" w:color="auto"/>
        <w:right w:val="none" w:sz="0" w:space="0" w:color="auto"/>
      </w:divBdr>
    </w:div>
    <w:div w:id="1703824533">
      <w:bodyDiv w:val="1"/>
      <w:marLeft w:val="0"/>
      <w:marRight w:val="0"/>
      <w:marTop w:val="0"/>
      <w:marBottom w:val="0"/>
      <w:divBdr>
        <w:top w:val="none" w:sz="0" w:space="0" w:color="auto"/>
        <w:left w:val="none" w:sz="0" w:space="0" w:color="auto"/>
        <w:bottom w:val="none" w:sz="0" w:space="0" w:color="auto"/>
        <w:right w:val="none" w:sz="0" w:space="0" w:color="auto"/>
      </w:divBdr>
    </w:div>
    <w:div w:id="1775326847">
      <w:bodyDiv w:val="1"/>
      <w:marLeft w:val="0"/>
      <w:marRight w:val="0"/>
      <w:marTop w:val="0"/>
      <w:marBottom w:val="0"/>
      <w:divBdr>
        <w:top w:val="none" w:sz="0" w:space="0" w:color="auto"/>
        <w:left w:val="none" w:sz="0" w:space="0" w:color="auto"/>
        <w:bottom w:val="none" w:sz="0" w:space="0" w:color="auto"/>
        <w:right w:val="none" w:sz="0" w:space="0" w:color="auto"/>
      </w:divBdr>
    </w:div>
    <w:div w:id="1840660325">
      <w:bodyDiv w:val="1"/>
      <w:marLeft w:val="0"/>
      <w:marRight w:val="0"/>
      <w:marTop w:val="0"/>
      <w:marBottom w:val="0"/>
      <w:divBdr>
        <w:top w:val="none" w:sz="0" w:space="0" w:color="auto"/>
        <w:left w:val="none" w:sz="0" w:space="0" w:color="auto"/>
        <w:bottom w:val="none" w:sz="0" w:space="0" w:color="auto"/>
        <w:right w:val="none" w:sz="0" w:space="0" w:color="auto"/>
      </w:divBdr>
    </w:div>
    <w:div w:id="1885557058">
      <w:bodyDiv w:val="1"/>
      <w:marLeft w:val="0"/>
      <w:marRight w:val="0"/>
      <w:marTop w:val="0"/>
      <w:marBottom w:val="0"/>
      <w:divBdr>
        <w:top w:val="none" w:sz="0" w:space="0" w:color="auto"/>
        <w:left w:val="none" w:sz="0" w:space="0" w:color="auto"/>
        <w:bottom w:val="none" w:sz="0" w:space="0" w:color="auto"/>
        <w:right w:val="none" w:sz="0" w:space="0" w:color="auto"/>
      </w:divBdr>
    </w:div>
    <w:div w:id="1944610666">
      <w:bodyDiv w:val="1"/>
      <w:marLeft w:val="0"/>
      <w:marRight w:val="0"/>
      <w:marTop w:val="0"/>
      <w:marBottom w:val="0"/>
      <w:divBdr>
        <w:top w:val="none" w:sz="0" w:space="0" w:color="auto"/>
        <w:left w:val="none" w:sz="0" w:space="0" w:color="auto"/>
        <w:bottom w:val="none" w:sz="0" w:space="0" w:color="auto"/>
        <w:right w:val="none" w:sz="0" w:space="0" w:color="auto"/>
      </w:divBdr>
    </w:div>
    <w:div w:id="1962687278">
      <w:bodyDiv w:val="1"/>
      <w:marLeft w:val="0"/>
      <w:marRight w:val="0"/>
      <w:marTop w:val="0"/>
      <w:marBottom w:val="0"/>
      <w:divBdr>
        <w:top w:val="none" w:sz="0" w:space="0" w:color="auto"/>
        <w:left w:val="none" w:sz="0" w:space="0" w:color="auto"/>
        <w:bottom w:val="none" w:sz="0" w:space="0" w:color="auto"/>
        <w:right w:val="none" w:sz="0" w:space="0" w:color="auto"/>
      </w:divBdr>
    </w:div>
    <w:div w:id="2000961852">
      <w:bodyDiv w:val="1"/>
      <w:marLeft w:val="0"/>
      <w:marRight w:val="0"/>
      <w:marTop w:val="0"/>
      <w:marBottom w:val="0"/>
      <w:divBdr>
        <w:top w:val="none" w:sz="0" w:space="0" w:color="auto"/>
        <w:left w:val="none" w:sz="0" w:space="0" w:color="auto"/>
        <w:bottom w:val="none" w:sz="0" w:space="0" w:color="auto"/>
        <w:right w:val="none" w:sz="0" w:space="0" w:color="auto"/>
      </w:divBdr>
    </w:div>
    <w:div w:id="2022126255">
      <w:bodyDiv w:val="1"/>
      <w:marLeft w:val="0"/>
      <w:marRight w:val="0"/>
      <w:marTop w:val="0"/>
      <w:marBottom w:val="0"/>
      <w:divBdr>
        <w:top w:val="none" w:sz="0" w:space="0" w:color="auto"/>
        <w:left w:val="none" w:sz="0" w:space="0" w:color="auto"/>
        <w:bottom w:val="none" w:sz="0" w:space="0" w:color="auto"/>
        <w:right w:val="none" w:sz="0" w:space="0" w:color="auto"/>
      </w:divBdr>
    </w:div>
    <w:div w:id="2076471972">
      <w:bodyDiv w:val="1"/>
      <w:marLeft w:val="0"/>
      <w:marRight w:val="0"/>
      <w:marTop w:val="0"/>
      <w:marBottom w:val="0"/>
      <w:divBdr>
        <w:top w:val="none" w:sz="0" w:space="0" w:color="auto"/>
        <w:left w:val="none" w:sz="0" w:space="0" w:color="auto"/>
        <w:bottom w:val="none" w:sz="0" w:space="0" w:color="auto"/>
        <w:right w:val="none" w:sz="0" w:space="0" w:color="auto"/>
      </w:divBdr>
    </w:div>
    <w:div w:id="211913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asiancreditfund.com/" TargetMode="External"/><Relationship Id="rId2" Type="http://schemas.openxmlformats.org/officeDocument/2006/relationships/hyperlink" Target="mailto:info@acfund.kz" TargetMode="External"/><Relationship Id="rId1" Type="http://schemas.openxmlformats.org/officeDocument/2006/relationships/hyperlink" Target="mailto:info@acfund.k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A69EF-5CFD-4C31-811F-473F62FE9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1923</Words>
  <Characters>10962</Characters>
  <Application>Microsoft Office Word</Application>
  <DocSecurity>0</DocSecurity>
  <Lines>91</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ТОО «Кредитное Товарищество «Азиатский Кредитный Фонд»</vt:lpstr>
      <vt:lpstr>ТОО «Кредитное Товарищество «Азиатский Кредитный Фонд»</vt:lpstr>
    </vt:vector>
  </TitlesOfParts>
  <Company>Asian Credit Fund</Company>
  <LinksUpToDate>false</LinksUpToDate>
  <CharactersWithSpaces>12860</CharactersWithSpaces>
  <SharedDoc>false</SharedDoc>
  <HLinks>
    <vt:vector size="84" baseType="variant">
      <vt:variant>
        <vt:i4>1376307</vt:i4>
      </vt:variant>
      <vt:variant>
        <vt:i4>44</vt:i4>
      </vt:variant>
      <vt:variant>
        <vt:i4>0</vt:i4>
      </vt:variant>
      <vt:variant>
        <vt:i4>5</vt:i4>
      </vt:variant>
      <vt:variant>
        <vt:lpwstr/>
      </vt:variant>
      <vt:variant>
        <vt:lpwstr>_Toc58254609</vt:lpwstr>
      </vt:variant>
      <vt:variant>
        <vt:i4>1310771</vt:i4>
      </vt:variant>
      <vt:variant>
        <vt:i4>38</vt:i4>
      </vt:variant>
      <vt:variant>
        <vt:i4>0</vt:i4>
      </vt:variant>
      <vt:variant>
        <vt:i4>5</vt:i4>
      </vt:variant>
      <vt:variant>
        <vt:lpwstr/>
      </vt:variant>
      <vt:variant>
        <vt:lpwstr>_Toc58254608</vt:lpwstr>
      </vt:variant>
      <vt:variant>
        <vt:i4>1769523</vt:i4>
      </vt:variant>
      <vt:variant>
        <vt:i4>32</vt:i4>
      </vt:variant>
      <vt:variant>
        <vt:i4>0</vt:i4>
      </vt:variant>
      <vt:variant>
        <vt:i4>5</vt:i4>
      </vt:variant>
      <vt:variant>
        <vt:lpwstr/>
      </vt:variant>
      <vt:variant>
        <vt:lpwstr>_Toc58254607</vt:lpwstr>
      </vt:variant>
      <vt:variant>
        <vt:i4>1703987</vt:i4>
      </vt:variant>
      <vt:variant>
        <vt:i4>26</vt:i4>
      </vt:variant>
      <vt:variant>
        <vt:i4>0</vt:i4>
      </vt:variant>
      <vt:variant>
        <vt:i4>5</vt:i4>
      </vt:variant>
      <vt:variant>
        <vt:lpwstr/>
      </vt:variant>
      <vt:variant>
        <vt:lpwstr>_Toc58254606</vt:lpwstr>
      </vt:variant>
      <vt:variant>
        <vt:i4>1638451</vt:i4>
      </vt:variant>
      <vt:variant>
        <vt:i4>20</vt:i4>
      </vt:variant>
      <vt:variant>
        <vt:i4>0</vt:i4>
      </vt:variant>
      <vt:variant>
        <vt:i4>5</vt:i4>
      </vt:variant>
      <vt:variant>
        <vt:lpwstr/>
      </vt:variant>
      <vt:variant>
        <vt:lpwstr>_Toc58254605</vt:lpwstr>
      </vt:variant>
      <vt:variant>
        <vt:i4>1572915</vt:i4>
      </vt:variant>
      <vt:variant>
        <vt:i4>14</vt:i4>
      </vt:variant>
      <vt:variant>
        <vt:i4>0</vt:i4>
      </vt:variant>
      <vt:variant>
        <vt:i4>5</vt:i4>
      </vt:variant>
      <vt:variant>
        <vt:lpwstr/>
      </vt:variant>
      <vt:variant>
        <vt:lpwstr>_Toc58254604</vt:lpwstr>
      </vt:variant>
      <vt:variant>
        <vt:i4>2031667</vt:i4>
      </vt:variant>
      <vt:variant>
        <vt:i4>8</vt:i4>
      </vt:variant>
      <vt:variant>
        <vt:i4>0</vt:i4>
      </vt:variant>
      <vt:variant>
        <vt:i4>5</vt:i4>
      </vt:variant>
      <vt:variant>
        <vt:lpwstr/>
      </vt:variant>
      <vt:variant>
        <vt:lpwstr>_Toc58254603</vt:lpwstr>
      </vt:variant>
      <vt:variant>
        <vt:i4>1966131</vt:i4>
      </vt:variant>
      <vt:variant>
        <vt:i4>2</vt:i4>
      </vt:variant>
      <vt:variant>
        <vt:i4>0</vt:i4>
      </vt:variant>
      <vt:variant>
        <vt:i4>5</vt:i4>
      </vt:variant>
      <vt:variant>
        <vt:lpwstr/>
      </vt:variant>
      <vt:variant>
        <vt:lpwstr>_Toc58254602</vt:lpwstr>
      </vt:variant>
      <vt:variant>
        <vt:i4>3145828</vt:i4>
      </vt:variant>
      <vt:variant>
        <vt:i4>15</vt:i4>
      </vt:variant>
      <vt:variant>
        <vt:i4>0</vt:i4>
      </vt:variant>
      <vt:variant>
        <vt:i4>5</vt:i4>
      </vt:variant>
      <vt:variant>
        <vt:lpwstr>http://www.asiancreditfund.com/</vt:lpwstr>
      </vt:variant>
      <vt:variant>
        <vt:lpwstr/>
      </vt:variant>
      <vt:variant>
        <vt:i4>3407884</vt:i4>
      </vt:variant>
      <vt:variant>
        <vt:i4>12</vt:i4>
      </vt:variant>
      <vt:variant>
        <vt:i4>0</vt:i4>
      </vt:variant>
      <vt:variant>
        <vt:i4>5</vt:i4>
      </vt:variant>
      <vt:variant>
        <vt:lpwstr>mailto:info@acfund.kz</vt:lpwstr>
      </vt:variant>
      <vt:variant>
        <vt:lpwstr/>
      </vt:variant>
      <vt:variant>
        <vt:i4>3407884</vt:i4>
      </vt:variant>
      <vt:variant>
        <vt:i4>9</vt:i4>
      </vt:variant>
      <vt:variant>
        <vt:i4>0</vt:i4>
      </vt:variant>
      <vt:variant>
        <vt:i4>5</vt:i4>
      </vt:variant>
      <vt:variant>
        <vt:lpwstr>mailto:info@acfund.kz</vt:lpwstr>
      </vt:variant>
      <vt:variant>
        <vt:lpwstr/>
      </vt:variant>
      <vt:variant>
        <vt:i4>3407884</vt:i4>
      </vt:variant>
      <vt:variant>
        <vt:i4>6</vt:i4>
      </vt:variant>
      <vt:variant>
        <vt:i4>0</vt:i4>
      </vt:variant>
      <vt:variant>
        <vt:i4>5</vt:i4>
      </vt:variant>
      <vt:variant>
        <vt:lpwstr>mailto:info@acfund.kz</vt:lpwstr>
      </vt:variant>
      <vt:variant>
        <vt:lpwstr/>
      </vt:variant>
      <vt:variant>
        <vt:i4>2359391</vt:i4>
      </vt:variant>
      <vt:variant>
        <vt:i4>-1</vt:i4>
      </vt:variant>
      <vt:variant>
        <vt:i4>1038</vt:i4>
      </vt:variant>
      <vt:variant>
        <vt:i4>4</vt:i4>
      </vt:variant>
      <vt:variant>
        <vt:lpwstr>http://www.colinmcnamara.com/wp-content/gallery/breach/risk_grid.gif</vt:lpwstr>
      </vt:variant>
      <vt:variant>
        <vt:lpwstr/>
      </vt:variant>
      <vt:variant>
        <vt:i4>2097187</vt:i4>
      </vt:variant>
      <vt:variant>
        <vt:i4>-1</vt:i4>
      </vt:variant>
      <vt:variant>
        <vt:i4>1038</vt:i4>
      </vt:variant>
      <vt:variant>
        <vt:i4>1</vt:i4>
      </vt:variant>
      <vt:variant>
        <vt:lpwstr>\\localhost\Users\Tanya\Documents\03 ACF workload\Risk management_ACF\http:\\www.colinmcnamara.com\wp-content\gallery\breach\thumbs\thumbs_risk_grid.gif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ТОО «Кредитное Товарищество «Азиатский Кредитный Фонд»</dc:title>
  <dc:subject/>
  <dc:creator>Gulnur</dc:creator>
  <cp:keywords/>
  <dc:description/>
  <cp:lastModifiedBy>Rustem T. Tlegenov(HQ)</cp:lastModifiedBy>
  <cp:revision>2</cp:revision>
  <cp:lastPrinted>2026-08-07T03:37:00Z</cp:lastPrinted>
  <dcterms:created xsi:type="dcterms:W3CDTF">2026-10-28T12:19:00Z</dcterms:created>
  <dcterms:modified xsi:type="dcterms:W3CDTF">2026-10-28T12:19:00Z</dcterms:modified>
</cp:coreProperties>
</file>